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3E8A6">
      <w:pPr>
        <w:spacing w:line="215" w:lineRule="exact"/>
      </w:pPr>
    </w:p>
    <w:p w14:paraId="095FFCC1">
      <w:pPr>
        <w:spacing w:line="215" w:lineRule="exact"/>
      </w:pPr>
    </w:p>
    <w:p w14:paraId="533304D2">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13" w:beforeAutospacing="0" w:after="0" w:afterAutospacing="0" w:line="220" w:lineRule="auto"/>
        <w:ind w:right="0"/>
        <w:jc w:val="center"/>
      </w:pPr>
      <w:r>
        <w:rPr>
          <w:rFonts w:ascii="黑体" w:hAnsi="宋体" w:eastAsia="黑体" w:cs="黑体"/>
          <w:color w:val="000000"/>
          <w:sz w:val="35"/>
          <w:szCs w:val="35"/>
        </w:rPr>
        <w:t>驻马店市中医院</w:t>
      </w:r>
      <w:r>
        <w:rPr>
          <w:rFonts w:hint="eastAsia" w:ascii="黑体" w:hAnsi="宋体" w:eastAsia="黑体" w:cs="黑体"/>
          <w:color w:val="000000"/>
          <w:sz w:val="35"/>
          <w:szCs w:val="35"/>
          <w:lang w:val="en-US" w:eastAsia="zh-CN"/>
        </w:rPr>
        <w:t>采购</w:t>
      </w:r>
      <w:r>
        <w:rPr>
          <w:rFonts w:hint="eastAsia" w:ascii="黑体" w:hAnsi="宋体" w:eastAsia="黑体" w:cs="黑体"/>
          <w:color w:val="000000"/>
          <w:sz w:val="35"/>
          <w:szCs w:val="35"/>
        </w:rPr>
        <w:t>项目参数要求</w:t>
      </w:r>
    </w:p>
    <w:p w14:paraId="207E4EE3">
      <w:pPr>
        <w:spacing w:line="215" w:lineRule="exact"/>
      </w:pPr>
    </w:p>
    <w:p w14:paraId="5A96E3C5">
      <w:pPr>
        <w:spacing w:line="215" w:lineRule="exact"/>
      </w:pP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8"/>
        <w:gridCol w:w="7665"/>
      </w:tblGrid>
      <w:tr w14:paraId="480AD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2138" w:type="dxa"/>
            <w:vAlign w:val="center"/>
          </w:tcPr>
          <w:p w14:paraId="0413A5B3">
            <w:pPr>
              <w:pStyle w:val="9"/>
              <w:spacing w:before="75" w:line="220" w:lineRule="auto"/>
              <w:ind w:firstLine="642" w:firstLineChars="300"/>
              <w:jc w:val="both"/>
              <w:rPr>
                <w:sz w:val="21"/>
                <w:szCs w:val="21"/>
              </w:rPr>
            </w:pPr>
            <w:r>
              <w:rPr>
                <w:spacing w:val="2"/>
                <w:sz w:val="21"/>
                <w:szCs w:val="21"/>
              </w:rPr>
              <w:t>项目名称</w:t>
            </w:r>
          </w:p>
        </w:tc>
        <w:tc>
          <w:tcPr>
            <w:tcW w:w="7665" w:type="dxa"/>
            <w:vAlign w:val="center"/>
          </w:tcPr>
          <w:p w14:paraId="5D1599D2">
            <w:pPr>
              <w:pStyle w:val="9"/>
              <w:spacing w:before="75" w:line="220" w:lineRule="auto"/>
              <w:ind w:firstLine="642" w:firstLineChars="300"/>
              <w:jc w:val="both"/>
              <w:rPr>
                <w:spacing w:val="2"/>
                <w:sz w:val="21"/>
                <w:szCs w:val="21"/>
              </w:rPr>
            </w:pPr>
            <w:r>
              <w:rPr>
                <w:rFonts w:hint="eastAsia"/>
                <w:spacing w:val="2"/>
                <w:sz w:val="21"/>
                <w:szCs w:val="21"/>
              </w:rPr>
              <w:t>驻马店市</w:t>
            </w:r>
            <w:r>
              <w:rPr>
                <w:rFonts w:hint="eastAsia"/>
                <w:spacing w:val="2"/>
                <w:sz w:val="21"/>
                <w:szCs w:val="21"/>
                <w:lang w:val="en-US" w:eastAsia="zh-CN"/>
              </w:rPr>
              <w:t>中医院急诊重症监护室气体管道及配套设施</w:t>
            </w:r>
            <w:r>
              <w:rPr>
                <w:rFonts w:hint="eastAsia"/>
                <w:spacing w:val="2"/>
                <w:sz w:val="21"/>
                <w:szCs w:val="21"/>
              </w:rPr>
              <w:t>采购项目</w:t>
            </w:r>
          </w:p>
        </w:tc>
      </w:tr>
      <w:tr w14:paraId="40AA4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9" w:hRule="atLeast"/>
          <w:jc w:val="center"/>
        </w:trPr>
        <w:tc>
          <w:tcPr>
            <w:tcW w:w="2138" w:type="dxa"/>
            <w:vAlign w:val="top"/>
          </w:tcPr>
          <w:p w14:paraId="49E7596C">
            <w:pPr>
              <w:spacing w:line="260" w:lineRule="auto"/>
              <w:jc w:val="both"/>
              <w:rPr>
                <w:rFonts w:ascii="Arial"/>
                <w:sz w:val="21"/>
                <w:szCs w:val="21"/>
              </w:rPr>
            </w:pPr>
          </w:p>
          <w:p w14:paraId="1EE58C5C">
            <w:pPr>
              <w:spacing w:line="261" w:lineRule="auto"/>
              <w:jc w:val="both"/>
              <w:rPr>
                <w:rFonts w:ascii="Arial"/>
                <w:sz w:val="21"/>
                <w:szCs w:val="21"/>
              </w:rPr>
            </w:pPr>
          </w:p>
          <w:p w14:paraId="4BA7EDF7">
            <w:pPr>
              <w:spacing w:line="261" w:lineRule="auto"/>
              <w:jc w:val="both"/>
              <w:rPr>
                <w:rFonts w:ascii="Arial"/>
                <w:sz w:val="21"/>
                <w:szCs w:val="21"/>
              </w:rPr>
            </w:pPr>
          </w:p>
          <w:p w14:paraId="38CC9979">
            <w:pPr>
              <w:pStyle w:val="9"/>
              <w:spacing w:before="75" w:line="220" w:lineRule="auto"/>
              <w:ind w:left="174"/>
              <w:jc w:val="both"/>
              <w:rPr>
                <w:sz w:val="21"/>
                <w:szCs w:val="21"/>
              </w:rPr>
            </w:pPr>
            <w:r>
              <w:rPr>
                <w:rFonts w:hint="eastAsia"/>
                <w:sz w:val="21"/>
                <w:szCs w:val="21"/>
                <w:lang w:val="en-US" w:eastAsia="zh-CN"/>
              </w:rPr>
              <w:t>一</w:t>
            </w:r>
            <w:r>
              <w:rPr>
                <w:sz w:val="21"/>
                <w:szCs w:val="21"/>
              </w:rPr>
              <w:t>、项目需求</w:t>
            </w:r>
          </w:p>
        </w:tc>
        <w:tc>
          <w:tcPr>
            <w:tcW w:w="7665" w:type="dxa"/>
            <w:vAlign w:val="top"/>
          </w:tcPr>
          <w:p w14:paraId="5397A56A">
            <w:pPr>
              <w:pStyle w:val="2"/>
              <w:spacing w:before="231" w:line="366" w:lineRule="auto"/>
              <w:ind w:right="61" w:firstLine="480" w:firstLineChars="200"/>
              <w:jc w:val="both"/>
              <w:rPr>
                <w:sz w:val="24"/>
                <w:szCs w:val="24"/>
              </w:rPr>
            </w:pPr>
            <w:r>
              <w:rPr>
                <w:sz w:val="24"/>
                <w:szCs w:val="24"/>
              </w:rPr>
              <w:t>现为了新增设备运行和科室要</w:t>
            </w:r>
            <w:r>
              <w:rPr>
                <w:spacing w:val="-1"/>
                <w:sz w:val="24"/>
                <w:szCs w:val="24"/>
              </w:rPr>
              <w:t>求</w:t>
            </w:r>
            <w:r>
              <w:rPr>
                <w:sz w:val="24"/>
                <w:szCs w:val="24"/>
              </w:rPr>
              <w:t>需增布医用</w:t>
            </w:r>
            <w:r>
              <w:rPr>
                <w:spacing w:val="-1"/>
                <w:sz w:val="24"/>
                <w:szCs w:val="24"/>
              </w:rPr>
              <w:t>气体管道供设备运行。</w:t>
            </w:r>
          </w:p>
          <w:p w14:paraId="7A929B93">
            <w:pPr>
              <w:pStyle w:val="2"/>
              <w:numPr>
                <w:ilvl w:val="0"/>
                <w:numId w:val="1"/>
              </w:numPr>
              <w:spacing w:before="35" w:line="321" w:lineRule="auto"/>
              <w:ind w:right="150"/>
              <w:rPr>
                <w:spacing w:val="-2"/>
                <w:sz w:val="24"/>
                <w:szCs w:val="24"/>
              </w:rPr>
            </w:pPr>
            <w:r>
              <w:rPr>
                <w:spacing w:val="-1"/>
                <w:sz w:val="24"/>
                <w:szCs w:val="24"/>
              </w:rPr>
              <w:t>增加压缩空气管道，供设</w:t>
            </w:r>
            <w:r>
              <w:rPr>
                <w:spacing w:val="17"/>
                <w:sz w:val="24"/>
                <w:szCs w:val="24"/>
              </w:rPr>
              <w:t xml:space="preserve"> </w:t>
            </w:r>
            <w:r>
              <w:rPr>
                <w:sz w:val="24"/>
                <w:szCs w:val="24"/>
              </w:rPr>
              <w:t>备投入正常运行并留有使用余量，使其压力和流量</w:t>
            </w:r>
            <w:r>
              <w:rPr>
                <w:spacing w:val="-1"/>
                <w:sz w:val="24"/>
                <w:szCs w:val="24"/>
              </w:rPr>
              <w:t>能达到后期增加设备或病员</w:t>
            </w:r>
            <w:r>
              <w:rPr>
                <w:sz w:val="24"/>
                <w:szCs w:val="24"/>
              </w:rPr>
              <w:t xml:space="preserve"> </w:t>
            </w:r>
            <w:r>
              <w:rPr>
                <w:spacing w:val="-2"/>
                <w:sz w:val="24"/>
                <w:szCs w:val="24"/>
              </w:rPr>
              <w:t>使用的要求。</w:t>
            </w:r>
          </w:p>
          <w:p w14:paraId="32CE3B3E">
            <w:pPr>
              <w:pStyle w:val="2"/>
              <w:numPr>
                <w:ilvl w:val="0"/>
                <w:numId w:val="0"/>
              </w:numPr>
              <w:spacing w:before="35" w:line="321" w:lineRule="auto"/>
              <w:ind w:right="150" w:rightChars="0"/>
              <w:rPr>
                <w:sz w:val="24"/>
                <w:szCs w:val="24"/>
              </w:rPr>
            </w:pPr>
            <w:r>
              <w:rPr>
                <w:rFonts w:hint="eastAsia"/>
                <w:spacing w:val="-1"/>
                <w:sz w:val="24"/>
                <w:szCs w:val="24"/>
                <w:lang w:val="en-US" w:eastAsia="zh-CN"/>
              </w:rPr>
              <w:t>2</w:t>
            </w:r>
            <w:r>
              <w:rPr>
                <w:spacing w:val="-1"/>
                <w:sz w:val="24"/>
                <w:szCs w:val="24"/>
              </w:rPr>
              <w:t>、鉴于急诊楼现有氧气管道偏细，后期增加用气设备或病员时，其压力</w:t>
            </w:r>
            <w:r>
              <w:rPr>
                <w:spacing w:val="17"/>
                <w:sz w:val="24"/>
                <w:szCs w:val="24"/>
              </w:rPr>
              <w:t xml:space="preserve"> </w:t>
            </w:r>
            <w:r>
              <w:rPr>
                <w:sz w:val="24"/>
                <w:szCs w:val="24"/>
              </w:rPr>
              <w:t>降低，流量减小，影响抢救和治疗用气，甚至会导</w:t>
            </w:r>
            <w:r>
              <w:rPr>
                <w:spacing w:val="-1"/>
                <w:sz w:val="24"/>
                <w:szCs w:val="24"/>
              </w:rPr>
              <w:t>致伤亡事件发生。同时</w:t>
            </w:r>
            <w:r>
              <w:rPr>
                <w:sz w:val="24"/>
                <w:szCs w:val="24"/>
              </w:rPr>
              <w:t xml:space="preserve"> </w:t>
            </w:r>
            <w:r>
              <w:rPr>
                <w:spacing w:val="-1"/>
                <w:sz w:val="24"/>
                <w:szCs w:val="24"/>
              </w:rPr>
              <w:t>增装备用氧气管道。</w:t>
            </w:r>
          </w:p>
          <w:p w14:paraId="1775554C">
            <w:pPr>
              <w:pStyle w:val="9"/>
              <w:spacing w:before="151" w:line="239" w:lineRule="auto"/>
              <w:ind w:left="181" w:right="224" w:firstLine="479"/>
              <w:jc w:val="both"/>
              <w:rPr>
                <w:rFonts w:hint="default" w:eastAsia="宋体"/>
                <w:sz w:val="21"/>
                <w:szCs w:val="21"/>
                <w:lang w:val="en-US" w:eastAsia="zh-CN"/>
              </w:rPr>
            </w:pPr>
          </w:p>
        </w:tc>
      </w:tr>
      <w:tr w14:paraId="71403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9" w:hRule="atLeast"/>
          <w:jc w:val="center"/>
        </w:trPr>
        <w:tc>
          <w:tcPr>
            <w:tcW w:w="2138" w:type="dxa"/>
            <w:vAlign w:val="top"/>
          </w:tcPr>
          <w:p w14:paraId="6CF3B3CB">
            <w:pPr>
              <w:spacing w:line="366" w:lineRule="auto"/>
              <w:jc w:val="both"/>
              <w:rPr>
                <w:rFonts w:ascii="Arial"/>
                <w:sz w:val="21"/>
                <w:szCs w:val="21"/>
              </w:rPr>
            </w:pPr>
          </w:p>
          <w:p w14:paraId="56566ACB">
            <w:pPr>
              <w:pStyle w:val="9"/>
              <w:spacing w:before="75" w:line="219" w:lineRule="auto"/>
              <w:ind w:left="114"/>
              <w:jc w:val="both"/>
              <w:rPr>
                <w:sz w:val="21"/>
                <w:szCs w:val="21"/>
              </w:rPr>
            </w:pPr>
            <w:r>
              <w:rPr>
                <w:spacing w:val="1"/>
                <w:sz w:val="21"/>
                <w:szCs w:val="21"/>
              </w:rPr>
              <w:t>二、报名要求</w:t>
            </w:r>
          </w:p>
        </w:tc>
        <w:tc>
          <w:tcPr>
            <w:tcW w:w="7665" w:type="dxa"/>
            <w:vAlign w:val="top"/>
          </w:tcPr>
          <w:p w14:paraId="664B709F">
            <w:pPr>
              <w:pStyle w:val="9"/>
              <w:spacing w:before="131" w:line="242" w:lineRule="auto"/>
              <w:ind w:left="181" w:right="55" w:firstLine="410"/>
              <w:jc w:val="both"/>
              <w:rPr>
                <w:sz w:val="21"/>
                <w:szCs w:val="21"/>
              </w:rPr>
            </w:pPr>
            <w:r>
              <w:rPr>
                <w:sz w:val="21"/>
                <w:szCs w:val="21"/>
              </w:rPr>
              <w:t>参与</w:t>
            </w:r>
            <w:r>
              <w:rPr>
                <w:rFonts w:hint="eastAsia"/>
                <w:sz w:val="21"/>
                <w:szCs w:val="21"/>
                <w:lang w:val="en-US" w:eastAsia="zh-CN"/>
              </w:rPr>
              <w:t>招标</w:t>
            </w:r>
            <w:r>
              <w:rPr>
                <w:sz w:val="21"/>
                <w:szCs w:val="21"/>
              </w:rPr>
              <w:t>的供应商必须是合法注册的公司或组织，</w:t>
            </w:r>
          </w:p>
          <w:p w14:paraId="3D88770A">
            <w:pPr>
              <w:pStyle w:val="9"/>
              <w:spacing w:before="131" w:line="242" w:lineRule="auto"/>
              <w:ind w:left="181" w:right="55" w:firstLine="410"/>
              <w:jc w:val="both"/>
              <w:rPr>
                <w:rFonts w:hint="eastAsia" w:eastAsia="宋体" w:cs="宋体" w:asciiTheme="minorEastAsia" w:hAnsiTheme="minorEastAsia"/>
                <w:kern w:val="0"/>
                <w:sz w:val="21"/>
                <w:szCs w:val="21"/>
                <w:lang w:val="en-US" w:eastAsia="zh-CN" w:bidi="ar-SA"/>
              </w:rPr>
            </w:pPr>
            <w:r>
              <w:rPr>
                <w:rFonts w:hint="eastAsia" w:eastAsia="宋体" w:cs="宋体" w:asciiTheme="minorEastAsia" w:hAnsiTheme="minorEastAsia"/>
                <w:kern w:val="0"/>
                <w:sz w:val="21"/>
                <w:szCs w:val="21"/>
                <w:lang w:val="en-US" w:eastAsia="zh-CN" w:bidi="ar-SA"/>
              </w:rPr>
              <w:t>1、具备《中华人民共和国政府采购法》第二十二条规定的条件，具有独立法人资格，并持有有效的营业执照。</w:t>
            </w:r>
          </w:p>
          <w:p w14:paraId="32FCF553">
            <w:pPr>
              <w:pStyle w:val="9"/>
              <w:spacing w:before="131" w:line="242" w:lineRule="auto"/>
              <w:ind w:left="181" w:right="55" w:firstLine="410"/>
              <w:jc w:val="both"/>
              <w:rPr>
                <w:rFonts w:hint="eastAsia" w:eastAsia="宋体" w:cs="宋体" w:asciiTheme="minorEastAsia" w:hAnsiTheme="minorEastAsia"/>
                <w:kern w:val="0"/>
                <w:sz w:val="21"/>
                <w:szCs w:val="21"/>
                <w:lang w:val="en-US" w:eastAsia="zh-CN" w:bidi="ar-SA"/>
              </w:rPr>
            </w:pPr>
            <w:r>
              <w:rPr>
                <w:rFonts w:hint="eastAsia" w:eastAsia="宋体" w:cs="宋体" w:asciiTheme="minorEastAsia" w:hAnsiTheme="minorEastAsia"/>
                <w:kern w:val="0"/>
                <w:sz w:val="21"/>
                <w:szCs w:val="21"/>
                <w:lang w:val="en-US" w:eastAsia="zh-CN" w:bidi="ar-SA"/>
              </w:rPr>
              <w:t>2、具有履行合同所必须的设备和专业技术能力。</w:t>
            </w:r>
          </w:p>
          <w:p w14:paraId="5621D36E">
            <w:pPr>
              <w:pStyle w:val="9"/>
              <w:spacing w:before="131" w:line="242" w:lineRule="auto"/>
              <w:ind w:left="181" w:right="55" w:firstLine="410"/>
              <w:jc w:val="both"/>
              <w:rPr>
                <w:rFonts w:hint="eastAsia" w:cs="宋体" w:asciiTheme="minorEastAsia" w:hAnsiTheme="minorEastAsia"/>
                <w:color w:val="000000" w:themeColor="text1"/>
                <w:kern w:val="0"/>
                <w:sz w:val="21"/>
                <w:szCs w:val="21"/>
                <w:highlight w:val="none"/>
                <w:lang w:val="en-US" w:eastAsia="zh-CN" w:bidi="ar-SA"/>
                <w14:textFill>
                  <w14:solidFill>
                    <w14:schemeClr w14:val="tx1"/>
                  </w14:solidFill>
                </w14:textFill>
              </w:rPr>
            </w:pPr>
            <w:r>
              <w:rPr>
                <w:rFonts w:hint="eastAsia" w:cs="宋体" w:asciiTheme="minorEastAsia" w:hAnsiTheme="minorEastAsia"/>
                <w:color w:val="000000" w:themeColor="text1"/>
                <w:kern w:val="0"/>
                <w:sz w:val="21"/>
                <w:szCs w:val="21"/>
                <w:highlight w:val="none"/>
                <w:lang w:val="en-US" w:eastAsia="zh-CN" w:bidi="ar-SA"/>
                <w14:textFill>
                  <w14:solidFill>
                    <w14:schemeClr w14:val="tx1"/>
                  </w14:solidFill>
                </w14:textFill>
              </w:rPr>
              <w:t>3、特定资格条件：</w:t>
            </w:r>
          </w:p>
          <w:p w14:paraId="41274AD4">
            <w:pPr>
              <w:pStyle w:val="9"/>
              <w:spacing w:before="131" w:line="242" w:lineRule="auto"/>
              <w:ind w:left="181" w:right="55" w:firstLine="410"/>
              <w:jc w:val="both"/>
              <w:rPr>
                <w:rFonts w:hint="eastAsia" w:cs="宋体" w:asciiTheme="minorEastAsia" w:hAnsiTheme="minorEastAsia"/>
                <w:color w:val="000000" w:themeColor="text1"/>
                <w:kern w:val="0"/>
                <w:sz w:val="21"/>
                <w:szCs w:val="21"/>
                <w:highlight w:val="none"/>
                <w:lang w:val="en-US" w:eastAsia="zh-CN" w:bidi="ar-SA"/>
                <w14:textFill>
                  <w14:solidFill>
                    <w14:schemeClr w14:val="tx1"/>
                  </w14:solidFill>
                </w14:textFill>
              </w:rPr>
            </w:pPr>
            <w:r>
              <w:rPr>
                <w:rFonts w:hint="eastAsia" w:cs="宋体" w:asciiTheme="minorEastAsia" w:hAnsiTheme="minorEastAsia"/>
                <w:color w:val="000000" w:themeColor="text1"/>
                <w:kern w:val="0"/>
                <w:sz w:val="21"/>
                <w:szCs w:val="21"/>
                <w:highlight w:val="none"/>
                <w:lang w:val="en-US" w:eastAsia="zh-CN" w:bidi="ar-SA"/>
                <w14:textFill>
                  <w14:solidFill>
                    <w14:schemeClr w14:val="tx1"/>
                  </w14:solidFill>
                </w14:textFill>
              </w:rPr>
              <w:t>(1）投标人须具有有效的"医疗器械经营企业许可证"或"医疗器械经营备案凭证"（如为制造商须提供"医疗器械生产企业许可证"及国家药监部门颁发的"医疗器械产品注册证"或"医疗器械生产备案凭证");</w:t>
            </w:r>
          </w:p>
          <w:p w14:paraId="34DCD911">
            <w:pPr>
              <w:pStyle w:val="9"/>
              <w:spacing w:before="131" w:line="242" w:lineRule="auto"/>
              <w:ind w:left="181" w:right="55" w:firstLine="410"/>
              <w:jc w:val="both"/>
              <w:rPr>
                <w:rFonts w:hint="eastAsia" w:cs="宋体" w:asciiTheme="minorEastAsia" w:hAnsiTheme="minorEastAsia"/>
                <w:color w:val="000000" w:themeColor="text1"/>
                <w:kern w:val="0"/>
                <w:sz w:val="21"/>
                <w:szCs w:val="21"/>
                <w:highlight w:val="none"/>
                <w:lang w:val="en-US" w:eastAsia="zh-CN" w:bidi="ar-SA"/>
                <w14:textFill>
                  <w14:solidFill>
                    <w14:schemeClr w14:val="tx1"/>
                  </w14:solidFill>
                </w14:textFill>
              </w:rPr>
            </w:pPr>
            <w:r>
              <w:rPr>
                <w:rFonts w:hint="eastAsia" w:cs="宋体" w:asciiTheme="minorEastAsia" w:hAnsiTheme="minorEastAsia"/>
                <w:color w:val="000000" w:themeColor="text1"/>
                <w:kern w:val="0"/>
                <w:sz w:val="21"/>
                <w:szCs w:val="21"/>
                <w:highlight w:val="none"/>
                <w:lang w:val="en-US" w:eastAsia="zh-CN" w:bidi="ar-SA"/>
                <w14:textFill>
                  <w14:solidFill>
                    <w14:schemeClr w14:val="tx1"/>
                  </w14:solidFill>
                </w14:textFill>
              </w:rPr>
              <w:t>(2）投标人须具备中华人民共和国特种设备安装改造维修许可证（压力管道）GC2级或以上资质；</w:t>
            </w:r>
          </w:p>
          <w:p w14:paraId="483D2332">
            <w:pPr>
              <w:pStyle w:val="9"/>
              <w:spacing w:before="131" w:line="242" w:lineRule="auto"/>
              <w:ind w:left="181" w:right="55" w:firstLine="410"/>
              <w:jc w:val="both"/>
              <w:rPr>
                <w:rFonts w:hint="eastAsia" w:cs="宋体" w:asciiTheme="minorEastAsia" w:hAnsiTheme="minorEastAsia"/>
                <w:color w:val="000000" w:themeColor="text1"/>
                <w:kern w:val="0"/>
                <w:sz w:val="21"/>
                <w:szCs w:val="21"/>
                <w:highlight w:val="none"/>
                <w:lang w:val="en-US" w:eastAsia="zh-CN" w:bidi="ar-SA"/>
                <w14:textFill>
                  <w14:solidFill>
                    <w14:schemeClr w14:val="tx1"/>
                  </w14:solidFill>
                </w14:textFill>
              </w:rPr>
            </w:pPr>
            <w:r>
              <w:rPr>
                <w:rFonts w:hint="eastAsia" w:cs="宋体" w:asciiTheme="minorEastAsia" w:hAnsiTheme="minorEastAsia"/>
                <w:color w:val="000000" w:themeColor="text1"/>
                <w:kern w:val="0"/>
                <w:sz w:val="21"/>
                <w:szCs w:val="21"/>
                <w:highlight w:val="none"/>
                <w:lang w:val="en-US" w:eastAsia="zh-CN" w:bidi="ar-SA"/>
                <w14:textFill>
                  <w14:solidFill>
                    <w14:schemeClr w14:val="tx1"/>
                  </w14:solidFill>
                </w14:textFill>
              </w:rPr>
              <w:t>(3）投标人须具有机电工程施工总承包叁级及以上或建筑业机电安装工程专业承包二级或以上资质；</w:t>
            </w:r>
          </w:p>
          <w:p w14:paraId="2C5296C8">
            <w:pPr>
              <w:pStyle w:val="9"/>
              <w:spacing w:before="131" w:line="242" w:lineRule="auto"/>
              <w:ind w:left="181" w:right="55" w:firstLine="410"/>
              <w:jc w:val="both"/>
              <w:rPr>
                <w:rFonts w:hint="eastAsia" w:cs="宋体" w:asciiTheme="minorEastAsia" w:hAnsiTheme="minorEastAsia"/>
                <w:color w:val="000000" w:themeColor="text1"/>
                <w:kern w:val="0"/>
                <w:sz w:val="21"/>
                <w:szCs w:val="21"/>
                <w:highlight w:val="none"/>
                <w:lang w:val="en-US" w:eastAsia="zh-CN" w:bidi="ar-SA"/>
                <w14:textFill>
                  <w14:solidFill>
                    <w14:schemeClr w14:val="tx1"/>
                  </w14:solidFill>
                </w14:textFill>
              </w:rPr>
            </w:pPr>
            <w:r>
              <w:rPr>
                <w:rFonts w:hint="eastAsia" w:cs="宋体" w:asciiTheme="minorEastAsia" w:hAnsiTheme="minorEastAsia"/>
                <w:color w:val="000000" w:themeColor="text1"/>
                <w:kern w:val="0"/>
                <w:sz w:val="21"/>
                <w:szCs w:val="21"/>
                <w:highlight w:val="none"/>
                <w:lang w:val="en-US" w:eastAsia="zh-CN" w:bidi="ar-SA"/>
                <w14:textFill>
                  <w14:solidFill>
                    <w14:schemeClr w14:val="tx1"/>
                  </w14:solidFill>
                </w14:textFill>
              </w:rPr>
              <w:t>(4）投标人须具有有效的施工企业安全生产许可证；</w:t>
            </w:r>
          </w:p>
          <w:p w14:paraId="6E18B81C">
            <w:pPr>
              <w:pStyle w:val="9"/>
              <w:spacing w:before="131" w:line="242" w:lineRule="auto"/>
              <w:ind w:left="181" w:right="55" w:firstLine="410"/>
              <w:jc w:val="both"/>
              <w:rPr>
                <w:spacing w:val="-1"/>
                <w:sz w:val="21"/>
                <w:szCs w:val="21"/>
              </w:rPr>
            </w:pPr>
            <w:r>
              <w:rPr>
                <w:rFonts w:hint="eastAsia" w:cs="宋体" w:asciiTheme="minorEastAsia" w:hAnsiTheme="minorEastAsia"/>
                <w:kern w:val="0"/>
                <w:sz w:val="21"/>
                <w:szCs w:val="21"/>
                <w:lang w:val="en-US" w:eastAsia="zh-CN" w:bidi="ar-SA"/>
              </w:rPr>
              <w:t>4</w:t>
            </w:r>
            <w:r>
              <w:rPr>
                <w:rFonts w:hint="eastAsia" w:eastAsia="宋体" w:cs="宋体" w:asciiTheme="minorEastAsia" w:hAnsiTheme="minorEastAsia"/>
                <w:kern w:val="0"/>
                <w:sz w:val="21"/>
                <w:szCs w:val="21"/>
                <w:lang w:val="en-US" w:eastAsia="zh-CN" w:bidi="ar-SA"/>
              </w:rPr>
              <w:t>、对列入失信被执行人、重大税收违法失信主体、政府采购严重违法失信行为记录名单的供应商，拒绝参与本项目，提供查询记录（“信用中国”及“中国政府采购网”查询记录）</w:t>
            </w:r>
          </w:p>
          <w:p w14:paraId="06CC17AF">
            <w:pPr>
              <w:pStyle w:val="9"/>
              <w:spacing w:before="131" w:line="242" w:lineRule="auto"/>
              <w:ind w:left="181" w:right="55" w:firstLine="410"/>
              <w:jc w:val="both"/>
              <w:rPr>
                <w:spacing w:val="-1"/>
                <w:sz w:val="21"/>
                <w:szCs w:val="21"/>
              </w:rPr>
            </w:pPr>
          </w:p>
        </w:tc>
      </w:tr>
      <w:tr w14:paraId="77379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22" w:hRule="atLeast"/>
          <w:jc w:val="center"/>
        </w:trPr>
        <w:tc>
          <w:tcPr>
            <w:tcW w:w="2138" w:type="dxa"/>
            <w:vAlign w:val="top"/>
          </w:tcPr>
          <w:p w14:paraId="1066D271">
            <w:pPr>
              <w:spacing w:line="243" w:lineRule="auto"/>
              <w:jc w:val="both"/>
              <w:rPr>
                <w:rFonts w:ascii="Arial"/>
                <w:sz w:val="21"/>
                <w:szCs w:val="21"/>
              </w:rPr>
            </w:pPr>
          </w:p>
          <w:p w14:paraId="798A39C0">
            <w:pPr>
              <w:spacing w:line="243" w:lineRule="auto"/>
              <w:jc w:val="both"/>
              <w:rPr>
                <w:rFonts w:ascii="Arial"/>
                <w:sz w:val="21"/>
                <w:szCs w:val="21"/>
              </w:rPr>
            </w:pPr>
          </w:p>
          <w:p w14:paraId="4A521070">
            <w:pPr>
              <w:spacing w:line="243" w:lineRule="auto"/>
              <w:jc w:val="both"/>
              <w:rPr>
                <w:rFonts w:ascii="Arial"/>
                <w:sz w:val="21"/>
                <w:szCs w:val="21"/>
              </w:rPr>
            </w:pPr>
          </w:p>
          <w:p w14:paraId="5DAE7284">
            <w:pPr>
              <w:spacing w:line="243" w:lineRule="auto"/>
              <w:jc w:val="both"/>
              <w:rPr>
                <w:rFonts w:ascii="Arial"/>
                <w:sz w:val="21"/>
                <w:szCs w:val="21"/>
              </w:rPr>
            </w:pPr>
          </w:p>
          <w:p w14:paraId="2324C3EF">
            <w:pPr>
              <w:spacing w:line="243" w:lineRule="auto"/>
              <w:jc w:val="both"/>
              <w:rPr>
                <w:rFonts w:ascii="Arial"/>
                <w:sz w:val="21"/>
                <w:szCs w:val="21"/>
              </w:rPr>
            </w:pPr>
          </w:p>
          <w:p w14:paraId="212B408C">
            <w:pPr>
              <w:spacing w:line="243" w:lineRule="auto"/>
              <w:jc w:val="both"/>
              <w:rPr>
                <w:rFonts w:ascii="Arial"/>
                <w:sz w:val="21"/>
                <w:szCs w:val="21"/>
              </w:rPr>
            </w:pPr>
          </w:p>
          <w:p w14:paraId="3D8C479A">
            <w:pPr>
              <w:spacing w:line="243" w:lineRule="auto"/>
              <w:jc w:val="both"/>
              <w:rPr>
                <w:rFonts w:ascii="Arial"/>
                <w:sz w:val="21"/>
                <w:szCs w:val="21"/>
              </w:rPr>
            </w:pPr>
          </w:p>
          <w:p w14:paraId="11DEA620">
            <w:pPr>
              <w:spacing w:line="243" w:lineRule="auto"/>
              <w:jc w:val="both"/>
              <w:rPr>
                <w:rFonts w:ascii="Arial"/>
                <w:sz w:val="21"/>
                <w:szCs w:val="21"/>
              </w:rPr>
            </w:pPr>
          </w:p>
          <w:p w14:paraId="2C519355">
            <w:pPr>
              <w:spacing w:line="243" w:lineRule="auto"/>
              <w:jc w:val="both"/>
              <w:rPr>
                <w:rFonts w:ascii="Arial"/>
                <w:sz w:val="21"/>
                <w:szCs w:val="21"/>
              </w:rPr>
            </w:pPr>
          </w:p>
          <w:p w14:paraId="4E329A90">
            <w:pPr>
              <w:spacing w:line="243" w:lineRule="auto"/>
              <w:jc w:val="both"/>
              <w:rPr>
                <w:rFonts w:ascii="Arial"/>
                <w:sz w:val="21"/>
                <w:szCs w:val="21"/>
              </w:rPr>
            </w:pPr>
          </w:p>
          <w:p w14:paraId="47B55660">
            <w:pPr>
              <w:spacing w:line="243" w:lineRule="auto"/>
              <w:jc w:val="both"/>
              <w:rPr>
                <w:rFonts w:ascii="Arial"/>
                <w:sz w:val="21"/>
                <w:szCs w:val="21"/>
              </w:rPr>
            </w:pPr>
          </w:p>
          <w:p w14:paraId="08DA4CF7">
            <w:pPr>
              <w:pStyle w:val="9"/>
              <w:spacing w:before="75" w:line="219" w:lineRule="auto"/>
              <w:ind w:left="74"/>
              <w:jc w:val="both"/>
              <w:rPr>
                <w:sz w:val="21"/>
                <w:szCs w:val="21"/>
              </w:rPr>
            </w:pPr>
            <w:r>
              <w:rPr>
                <w:rFonts w:hint="eastAsia"/>
                <w:spacing w:val="1"/>
                <w:sz w:val="21"/>
                <w:szCs w:val="21"/>
                <w:lang w:val="en-US" w:eastAsia="zh-CN"/>
              </w:rPr>
              <w:t>三、</w:t>
            </w:r>
            <w:r>
              <w:rPr>
                <w:spacing w:val="1"/>
                <w:sz w:val="21"/>
                <w:szCs w:val="21"/>
              </w:rPr>
              <w:t>项目商务</w:t>
            </w:r>
          </w:p>
          <w:p w14:paraId="07EAAF2F">
            <w:pPr>
              <w:pStyle w:val="9"/>
              <w:spacing w:before="47" w:line="219" w:lineRule="auto"/>
              <w:ind w:left="74"/>
              <w:jc w:val="both"/>
              <w:rPr>
                <w:sz w:val="21"/>
                <w:szCs w:val="21"/>
              </w:rPr>
            </w:pPr>
            <w:r>
              <w:rPr>
                <w:spacing w:val="-1"/>
                <w:sz w:val="21"/>
                <w:szCs w:val="21"/>
              </w:rPr>
              <w:t>及技术参数要求</w:t>
            </w:r>
          </w:p>
        </w:tc>
        <w:tc>
          <w:tcPr>
            <w:tcW w:w="7665" w:type="dxa"/>
            <w:vAlign w:val="top"/>
          </w:tcPr>
          <w:p w14:paraId="3453DDEB">
            <w:pPr>
              <w:pStyle w:val="2"/>
              <w:spacing w:before="229" w:line="350" w:lineRule="auto"/>
              <w:ind w:left="31" w:firstLine="483"/>
              <w:rPr>
                <w:sz w:val="24"/>
                <w:szCs w:val="24"/>
              </w:rPr>
            </w:pPr>
            <w:r>
              <w:rPr>
                <w:spacing w:val="-1"/>
                <w:sz w:val="24"/>
                <w:szCs w:val="24"/>
              </w:rPr>
              <w:t>一、按</w:t>
            </w:r>
            <w:r>
              <w:rPr>
                <w:spacing w:val="-52"/>
                <w:sz w:val="24"/>
                <w:szCs w:val="24"/>
              </w:rPr>
              <w:t xml:space="preserve"> </w:t>
            </w:r>
            <w:r>
              <w:rPr>
                <w:spacing w:val="-1"/>
                <w:sz w:val="24"/>
                <w:szCs w:val="24"/>
              </w:rPr>
              <w:t>GB/50751-2012《医用气体工程技术规范》，根据</w:t>
            </w:r>
            <w:r>
              <w:rPr>
                <w:spacing w:val="-54"/>
                <w:sz w:val="24"/>
                <w:szCs w:val="24"/>
              </w:rPr>
              <w:t xml:space="preserve"> </w:t>
            </w:r>
            <w:r>
              <w:rPr>
                <w:spacing w:val="-1"/>
                <w:sz w:val="24"/>
                <w:szCs w:val="24"/>
              </w:rPr>
              <w:t>ECMO</w:t>
            </w:r>
            <w:r>
              <w:rPr>
                <w:spacing w:val="-49"/>
                <w:sz w:val="24"/>
                <w:szCs w:val="24"/>
              </w:rPr>
              <w:t xml:space="preserve"> </w:t>
            </w:r>
            <w:r>
              <w:rPr>
                <w:spacing w:val="-1"/>
                <w:sz w:val="24"/>
                <w:szCs w:val="24"/>
              </w:rPr>
              <w:t>用气量，空</w:t>
            </w:r>
            <w:r>
              <w:rPr>
                <w:sz w:val="24"/>
                <w:szCs w:val="24"/>
              </w:rPr>
              <w:t xml:space="preserve"> </w:t>
            </w:r>
            <w:r>
              <w:rPr>
                <w:spacing w:val="-1"/>
                <w:sz w:val="24"/>
                <w:szCs w:val="24"/>
              </w:rPr>
              <w:t>气：30L/min，氧气：6L/min，按科室</w:t>
            </w:r>
            <w:r>
              <w:rPr>
                <w:spacing w:val="-29"/>
                <w:sz w:val="24"/>
                <w:szCs w:val="24"/>
              </w:rPr>
              <w:t xml:space="preserve"> </w:t>
            </w:r>
            <w:r>
              <w:rPr>
                <w:spacing w:val="-1"/>
                <w:sz w:val="24"/>
                <w:szCs w:val="24"/>
              </w:rPr>
              <w:t>75%的使用率计算，压缩空气、氧气管道</w:t>
            </w:r>
            <w:r>
              <w:rPr>
                <w:sz w:val="24"/>
                <w:szCs w:val="24"/>
              </w:rPr>
              <w:t xml:space="preserve"> </w:t>
            </w:r>
            <w:r>
              <w:rPr>
                <w:spacing w:val="-1"/>
                <w:sz w:val="24"/>
                <w:szCs w:val="24"/>
              </w:rPr>
              <w:t>均采用Ф28*1.5</w:t>
            </w:r>
            <w:r>
              <w:rPr>
                <w:spacing w:val="-34"/>
                <w:sz w:val="24"/>
                <w:szCs w:val="24"/>
              </w:rPr>
              <w:t xml:space="preserve"> </w:t>
            </w:r>
            <w:r>
              <w:rPr>
                <w:spacing w:val="-1"/>
                <w:sz w:val="24"/>
                <w:szCs w:val="24"/>
              </w:rPr>
              <w:t>医用紫铜管。新增压缩空气管道由门诊楼二楼管道井处的空气</w:t>
            </w:r>
            <w:r>
              <w:rPr>
                <w:sz w:val="24"/>
                <w:szCs w:val="24"/>
              </w:rPr>
              <w:t xml:space="preserve"> </w:t>
            </w:r>
            <w:r>
              <w:rPr>
                <w:spacing w:val="-3"/>
                <w:sz w:val="24"/>
                <w:szCs w:val="24"/>
              </w:rPr>
              <w:t>主管 (</w:t>
            </w:r>
            <w:r>
              <w:rPr>
                <w:spacing w:val="-36"/>
                <w:sz w:val="24"/>
                <w:szCs w:val="24"/>
              </w:rPr>
              <w:t xml:space="preserve"> </w:t>
            </w:r>
            <w:r>
              <w:rPr>
                <w:spacing w:val="-3"/>
                <w:sz w:val="24"/>
                <w:szCs w:val="24"/>
              </w:rPr>
              <w:t>Ф57</w:t>
            </w:r>
            <w:r>
              <w:rPr>
                <w:spacing w:val="-47"/>
                <w:sz w:val="24"/>
                <w:szCs w:val="24"/>
              </w:rPr>
              <w:t xml:space="preserve"> </w:t>
            </w:r>
            <w:r>
              <w:rPr>
                <w:spacing w:val="-3"/>
                <w:sz w:val="24"/>
                <w:szCs w:val="24"/>
              </w:rPr>
              <w:t>不锈钢管）对接，并安装双回路二级稳压箱装置与截止阀门，顺吊</w:t>
            </w:r>
            <w:r>
              <w:rPr>
                <w:sz w:val="24"/>
                <w:szCs w:val="24"/>
              </w:rPr>
              <w:t xml:space="preserve"> </w:t>
            </w:r>
            <w:r>
              <w:rPr>
                <w:spacing w:val="-3"/>
                <w:sz w:val="24"/>
                <w:szCs w:val="24"/>
              </w:rPr>
              <w:t>顶上部经急诊大厅（玻璃房顶）连至急诊二楼重症监护室，并与五台吊桥对接，</w:t>
            </w:r>
            <w:r>
              <w:rPr>
                <w:spacing w:val="4"/>
                <w:sz w:val="24"/>
                <w:szCs w:val="24"/>
              </w:rPr>
              <w:t xml:space="preserve"> </w:t>
            </w:r>
            <w:r>
              <w:rPr>
                <w:sz w:val="24"/>
                <w:szCs w:val="24"/>
              </w:rPr>
              <w:t>每台吊桥对接处安装气体截止阀门，以备故障时检查</w:t>
            </w:r>
            <w:r>
              <w:rPr>
                <w:spacing w:val="-1"/>
                <w:sz w:val="24"/>
                <w:szCs w:val="24"/>
              </w:rPr>
              <w:t>维修。再从二楼重症监护</w:t>
            </w:r>
            <w:r>
              <w:rPr>
                <w:sz w:val="24"/>
                <w:szCs w:val="24"/>
              </w:rPr>
              <w:t xml:space="preserve">  </w:t>
            </w:r>
            <w:r>
              <w:rPr>
                <w:spacing w:val="-1"/>
                <w:sz w:val="24"/>
                <w:szCs w:val="24"/>
              </w:rPr>
              <w:t>室分出Ф28*1.5</w:t>
            </w:r>
            <w:r>
              <w:rPr>
                <w:spacing w:val="-39"/>
                <w:sz w:val="24"/>
                <w:szCs w:val="24"/>
              </w:rPr>
              <w:t xml:space="preserve"> </w:t>
            </w:r>
            <w:r>
              <w:rPr>
                <w:spacing w:val="-1"/>
                <w:sz w:val="24"/>
                <w:szCs w:val="24"/>
              </w:rPr>
              <w:t>医用紫铜管至一楼抢救室与五台吊塔</w:t>
            </w:r>
            <w:r>
              <w:rPr>
                <w:spacing w:val="-2"/>
                <w:sz w:val="24"/>
                <w:szCs w:val="24"/>
              </w:rPr>
              <w:t>连接。</w:t>
            </w:r>
          </w:p>
          <w:p w14:paraId="3DC24AEA">
            <w:pPr>
              <w:pStyle w:val="2"/>
              <w:spacing w:before="198" w:line="342" w:lineRule="auto"/>
              <w:ind w:left="33" w:firstLine="481"/>
              <w:rPr>
                <w:sz w:val="24"/>
                <w:szCs w:val="24"/>
              </w:rPr>
            </w:pPr>
            <w:r>
              <w:rPr>
                <w:spacing w:val="-1"/>
                <w:sz w:val="24"/>
                <w:szCs w:val="24"/>
              </w:rPr>
              <w:t>二、新增氧气管道由门诊楼二楼管道井处的氧气主管（1-10</w:t>
            </w:r>
            <w:r>
              <w:rPr>
                <w:spacing w:val="-40"/>
                <w:sz w:val="24"/>
                <w:szCs w:val="24"/>
              </w:rPr>
              <w:t xml:space="preserve"> </w:t>
            </w:r>
            <w:r>
              <w:rPr>
                <w:spacing w:val="-1"/>
                <w:sz w:val="24"/>
                <w:szCs w:val="24"/>
              </w:rPr>
              <w:t>层的供气Ф32</w:t>
            </w:r>
            <w:r>
              <w:rPr>
                <w:sz w:val="24"/>
                <w:szCs w:val="24"/>
              </w:rPr>
              <w:t xml:space="preserve"> </w:t>
            </w:r>
            <w:r>
              <w:rPr>
                <w:spacing w:val="-3"/>
                <w:sz w:val="24"/>
                <w:szCs w:val="24"/>
              </w:rPr>
              <w:t>不锈钢管道）对接，并安装双回路二级稳压箱装置加装气体流量计含旁通装置，</w:t>
            </w:r>
            <w:r>
              <w:rPr>
                <w:spacing w:val="3"/>
                <w:sz w:val="24"/>
                <w:szCs w:val="24"/>
              </w:rPr>
              <w:t xml:space="preserve"> </w:t>
            </w:r>
            <w:r>
              <w:rPr>
                <w:sz w:val="24"/>
                <w:szCs w:val="24"/>
              </w:rPr>
              <w:t>如用气出现特殊情况时打开旁通阀门可满足供气</w:t>
            </w:r>
            <w:r>
              <w:rPr>
                <w:spacing w:val="-1"/>
                <w:sz w:val="24"/>
                <w:szCs w:val="24"/>
              </w:rPr>
              <w:t>需求。与空气管道并排顺吊顶</w:t>
            </w:r>
            <w:r>
              <w:rPr>
                <w:sz w:val="24"/>
                <w:szCs w:val="24"/>
              </w:rPr>
              <w:t xml:space="preserve">  上部经急诊大楼（玻璃房顶）连至急诊二楼重症</w:t>
            </w:r>
            <w:r>
              <w:rPr>
                <w:spacing w:val="-1"/>
                <w:sz w:val="24"/>
                <w:szCs w:val="24"/>
              </w:rPr>
              <w:t>监护室房间，做通长布置以备</w:t>
            </w:r>
            <w:r>
              <w:rPr>
                <w:sz w:val="24"/>
                <w:szCs w:val="24"/>
              </w:rPr>
              <w:t xml:space="preserve">  </w:t>
            </w:r>
            <w:r>
              <w:rPr>
                <w:spacing w:val="-6"/>
                <w:sz w:val="24"/>
                <w:szCs w:val="24"/>
              </w:rPr>
              <w:t>用。</w:t>
            </w:r>
          </w:p>
          <w:p w14:paraId="565FF3DD">
            <w:pPr>
              <w:pStyle w:val="2"/>
              <w:spacing w:before="195" w:line="295" w:lineRule="auto"/>
              <w:ind w:left="49" w:right="150" w:firstLine="462"/>
              <w:rPr>
                <w:spacing w:val="-2"/>
                <w:sz w:val="24"/>
                <w:szCs w:val="24"/>
              </w:rPr>
            </w:pPr>
            <w:r>
              <w:rPr>
                <w:sz w:val="24"/>
                <w:szCs w:val="24"/>
              </w:rPr>
              <w:t>三、新增加的气体管道与设备连接前再次进行吹</w:t>
            </w:r>
            <w:r>
              <w:rPr>
                <w:spacing w:val="-1"/>
                <w:sz w:val="24"/>
                <w:szCs w:val="24"/>
              </w:rPr>
              <w:t>扫，清除管道内焊接时残</w:t>
            </w:r>
            <w:r>
              <w:rPr>
                <w:sz w:val="24"/>
                <w:szCs w:val="24"/>
              </w:rPr>
              <w:t xml:space="preserve"> </w:t>
            </w:r>
            <w:r>
              <w:rPr>
                <w:spacing w:val="-2"/>
                <w:sz w:val="24"/>
                <w:szCs w:val="24"/>
              </w:rPr>
              <w:t>留少量杂质，保证供气品质和设备正常运行。</w:t>
            </w:r>
          </w:p>
          <w:p w14:paraId="307CDE80">
            <w:pPr>
              <w:pStyle w:val="2"/>
              <w:spacing w:before="200" w:line="329" w:lineRule="auto"/>
              <w:ind w:left="33" w:firstLine="479"/>
              <w:rPr>
                <w:sz w:val="24"/>
                <w:szCs w:val="24"/>
              </w:rPr>
            </w:pPr>
            <w:r>
              <w:rPr>
                <w:rFonts w:hint="eastAsia" w:eastAsia="宋体"/>
                <w:sz w:val="24"/>
                <w:szCs w:val="24"/>
                <w:lang w:val="en-US" w:eastAsia="zh-CN"/>
              </w:rPr>
              <w:t>四、</w:t>
            </w:r>
            <w:r>
              <w:rPr>
                <w:sz w:val="24"/>
                <w:szCs w:val="24"/>
              </w:rPr>
              <w:t>严格按照国家的有关标准、规范进行工程设计</w:t>
            </w:r>
            <w:r>
              <w:rPr>
                <w:spacing w:val="-1"/>
                <w:sz w:val="24"/>
                <w:szCs w:val="24"/>
              </w:rPr>
              <w:t>，从技术上确保设计符合国</w:t>
            </w:r>
            <w:r>
              <w:rPr>
                <w:sz w:val="24"/>
                <w:szCs w:val="24"/>
              </w:rPr>
              <w:t xml:space="preserve">  </w:t>
            </w:r>
            <w:r>
              <w:rPr>
                <w:spacing w:val="-2"/>
                <w:sz w:val="24"/>
                <w:szCs w:val="24"/>
              </w:rPr>
              <w:t>家有关标准、规范的规定，满足医院提出的各项</w:t>
            </w:r>
            <w:r>
              <w:rPr>
                <w:spacing w:val="-3"/>
                <w:sz w:val="24"/>
                <w:szCs w:val="24"/>
              </w:rPr>
              <w:t>要求。努力贯彻设计的安全性、</w:t>
            </w:r>
            <w:r>
              <w:rPr>
                <w:sz w:val="24"/>
                <w:szCs w:val="24"/>
              </w:rPr>
              <w:t xml:space="preserve"> 可靠性和实用性。在满足安全、可靠的前提下采用先进技术，同时考虑经济、</w:t>
            </w:r>
            <w:r>
              <w:rPr>
                <w:spacing w:val="6"/>
                <w:sz w:val="24"/>
                <w:szCs w:val="24"/>
              </w:rPr>
              <w:t xml:space="preserve">  </w:t>
            </w:r>
            <w:r>
              <w:rPr>
                <w:spacing w:val="-1"/>
                <w:sz w:val="24"/>
                <w:szCs w:val="24"/>
              </w:rPr>
              <w:t>美观和维修方便等因素，做好医院医用气体系统工程的设计。</w:t>
            </w:r>
          </w:p>
          <w:p w14:paraId="0B23BA58">
            <w:pPr>
              <w:pStyle w:val="2"/>
              <w:spacing w:before="38" w:line="219" w:lineRule="auto"/>
              <w:ind w:left="529"/>
              <w:rPr>
                <w:sz w:val="24"/>
                <w:szCs w:val="24"/>
              </w:rPr>
            </w:pPr>
            <w:r>
              <w:rPr>
                <w:spacing w:val="-3"/>
                <w:sz w:val="24"/>
                <w:szCs w:val="24"/>
              </w:rPr>
              <w:t>1、医用气体使用的安全性：</w:t>
            </w:r>
          </w:p>
          <w:p w14:paraId="77152888">
            <w:pPr>
              <w:pStyle w:val="2"/>
              <w:spacing w:before="151" w:line="219" w:lineRule="auto"/>
              <w:ind w:left="523"/>
              <w:rPr>
                <w:sz w:val="24"/>
                <w:szCs w:val="24"/>
              </w:rPr>
            </w:pPr>
            <w:r>
              <w:rPr>
                <w:spacing w:val="-2"/>
                <w:sz w:val="24"/>
                <w:szCs w:val="24"/>
              </w:rPr>
              <w:t>（1）气体供应保证连续，不可间断。</w:t>
            </w:r>
          </w:p>
          <w:p w14:paraId="008467A7">
            <w:pPr>
              <w:pStyle w:val="2"/>
              <w:spacing w:before="150" w:line="219" w:lineRule="auto"/>
              <w:ind w:left="514"/>
              <w:rPr>
                <w:sz w:val="24"/>
                <w:szCs w:val="24"/>
              </w:rPr>
            </w:pPr>
            <w:r>
              <w:rPr>
                <w:spacing w:val="-2"/>
                <w:sz w:val="24"/>
                <w:szCs w:val="24"/>
              </w:rPr>
              <w:t>2、先进性、合理性：</w:t>
            </w:r>
          </w:p>
          <w:p w14:paraId="73616F5A">
            <w:pPr>
              <w:pStyle w:val="2"/>
              <w:spacing w:before="152" w:line="219" w:lineRule="auto"/>
              <w:ind w:left="523"/>
              <w:rPr>
                <w:sz w:val="24"/>
                <w:szCs w:val="24"/>
              </w:rPr>
            </w:pPr>
            <w:r>
              <w:rPr>
                <w:spacing w:val="-1"/>
                <w:sz w:val="24"/>
                <w:szCs w:val="24"/>
              </w:rPr>
              <w:t>（1）设备选用国际知名品牌产品，技术先进，运行稳定；</w:t>
            </w:r>
          </w:p>
          <w:p w14:paraId="4AE627A9">
            <w:pPr>
              <w:pStyle w:val="2"/>
              <w:spacing w:before="151" w:line="219" w:lineRule="auto"/>
              <w:ind w:left="523"/>
              <w:rPr>
                <w:sz w:val="24"/>
                <w:szCs w:val="24"/>
              </w:rPr>
            </w:pPr>
            <w:r>
              <w:rPr>
                <w:spacing w:val="-2"/>
                <w:sz w:val="24"/>
                <w:szCs w:val="24"/>
              </w:rPr>
              <w:t>（2）管路管材、管件、阀门选用优质产品；</w:t>
            </w:r>
          </w:p>
          <w:p w14:paraId="39DF47D3">
            <w:pPr>
              <w:pStyle w:val="2"/>
              <w:spacing w:before="155" w:line="219" w:lineRule="auto"/>
              <w:ind w:left="516"/>
              <w:rPr>
                <w:sz w:val="24"/>
                <w:szCs w:val="24"/>
              </w:rPr>
            </w:pPr>
            <w:r>
              <w:rPr>
                <w:spacing w:val="-3"/>
                <w:sz w:val="24"/>
                <w:szCs w:val="24"/>
              </w:rPr>
              <w:t>3、管理性：</w:t>
            </w:r>
          </w:p>
          <w:p w14:paraId="71FA5825">
            <w:pPr>
              <w:pStyle w:val="2"/>
              <w:spacing w:before="151" w:line="219" w:lineRule="auto"/>
              <w:ind w:left="523"/>
              <w:rPr>
                <w:sz w:val="24"/>
                <w:szCs w:val="24"/>
              </w:rPr>
            </w:pPr>
            <w:r>
              <w:rPr>
                <w:spacing w:val="-2"/>
                <w:sz w:val="24"/>
                <w:szCs w:val="24"/>
              </w:rPr>
              <w:t>（1）布局合理、管理方便。</w:t>
            </w:r>
          </w:p>
          <w:p w14:paraId="763C1F53">
            <w:pPr>
              <w:pStyle w:val="2"/>
              <w:spacing w:before="150" w:line="220" w:lineRule="auto"/>
              <w:ind w:left="510"/>
              <w:rPr>
                <w:sz w:val="24"/>
                <w:szCs w:val="24"/>
              </w:rPr>
            </w:pPr>
            <w:r>
              <w:rPr>
                <w:spacing w:val="-2"/>
                <w:sz w:val="24"/>
                <w:szCs w:val="24"/>
              </w:rPr>
              <w:t>4、经济性：</w:t>
            </w:r>
          </w:p>
          <w:p w14:paraId="67DCC744">
            <w:pPr>
              <w:pStyle w:val="2"/>
              <w:spacing w:before="150" w:line="323" w:lineRule="auto"/>
              <w:ind w:left="32" w:right="80" w:firstLine="490"/>
              <w:rPr>
                <w:sz w:val="24"/>
                <w:szCs w:val="24"/>
              </w:rPr>
            </w:pPr>
            <w:r>
              <w:rPr>
                <w:spacing w:val="-2"/>
                <w:sz w:val="24"/>
                <w:szCs w:val="24"/>
              </w:rPr>
              <w:t>（1）管材选用先进、合理、经济实用。管径、壁厚计算科学，即满足使用</w:t>
            </w:r>
            <w:r>
              <w:rPr>
                <w:spacing w:val="12"/>
                <w:sz w:val="24"/>
                <w:szCs w:val="24"/>
              </w:rPr>
              <w:t xml:space="preserve"> </w:t>
            </w:r>
            <w:r>
              <w:rPr>
                <w:spacing w:val="-2"/>
                <w:sz w:val="24"/>
                <w:szCs w:val="24"/>
              </w:rPr>
              <w:t>压力和用量又不浪费；</w:t>
            </w:r>
          </w:p>
          <w:p w14:paraId="0251AB57">
            <w:pPr>
              <w:pStyle w:val="2"/>
              <w:spacing w:before="37" w:line="220" w:lineRule="auto"/>
              <w:ind w:left="516"/>
              <w:rPr>
                <w:sz w:val="24"/>
                <w:szCs w:val="24"/>
              </w:rPr>
            </w:pPr>
            <w:r>
              <w:rPr>
                <w:spacing w:val="-2"/>
                <w:sz w:val="24"/>
                <w:szCs w:val="24"/>
              </w:rPr>
              <w:t>5、安全维护性：</w:t>
            </w:r>
          </w:p>
          <w:p w14:paraId="6AD96A4C">
            <w:pPr>
              <w:pStyle w:val="2"/>
              <w:spacing w:before="149" w:line="219" w:lineRule="auto"/>
              <w:ind w:left="523"/>
              <w:rPr>
                <w:sz w:val="24"/>
                <w:szCs w:val="24"/>
              </w:rPr>
            </w:pPr>
            <w:r>
              <w:rPr>
                <w:spacing w:val="-1"/>
                <w:sz w:val="24"/>
                <w:szCs w:val="24"/>
              </w:rPr>
              <w:t>（1）施工工艺先进、确保管路连接可靠，充分保证管路的无渗透；</w:t>
            </w:r>
          </w:p>
          <w:p w14:paraId="791C99FF">
            <w:pPr>
              <w:pStyle w:val="2"/>
              <w:spacing w:before="151" w:line="219" w:lineRule="auto"/>
              <w:ind w:left="523"/>
              <w:rPr>
                <w:sz w:val="24"/>
                <w:szCs w:val="24"/>
              </w:rPr>
            </w:pPr>
            <w:r>
              <w:rPr>
                <w:spacing w:val="-1"/>
                <w:sz w:val="24"/>
                <w:szCs w:val="24"/>
              </w:rPr>
              <w:t>（2）各设备布局合理，安装方便快捷：设计先进，结构合理，维护方便。</w:t>
            </w:r>
          </w:p>
          <w:p w14:paraId="35D66511">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400" w:lineRule="exact"/>
              <w:ind w:right="139" w:rightChars="0"/>
              <w:jc w:val="both"/>
              <w:textAlignment w:val="baseline"/>
              <w:rPr>
                <w:rFonts w:hint="eastAsia" w:eastAsia="宋体" w:cs="宋体" w:asciiTheme="minorEastAsia" w:hAnsiTheme="minorEastAsia"/>
                <w:color w:val="FF0000"/>
                <w:sz w:val="24"/>
                <w:szCs w:val="24"/>
                <w:lang w:val="en-US" w:eastAsia="zh-CN"/>
              </w:rPr>
            </w:pPr>
          </w:p>
        </w:tc>
      </w:tr>
    </w:tbl>
    <w:p w14:paraId="1FB6CFEA">
      <w:pPr>
        <w:pStyle w:val="3"/>
        <w:ind w:left="0" w:leftChars="0" w:firstLine="0" w:firstLineChars="0"/>
      </w:pPr>
    </w:p>
    <w:p w14:paraId="21936254">
      <w:pPr>
        <w:pStyle w:val="3"/>
        <w:ind w:left="0" w:leftChars="0" w:firstLine="0" w:firstLineChars="0"/>
      </w:pPr>
    </w:p>
    <w:p w14:paraId="6BEB07CF">
      <w:pPr>
        <w:pStyle w:val="3"/>
        <w:ind w:left="0" w:leftChars="0" w:firstLine="0" w:firstLineChars="0"/>
      </w:pPr>
      <w:bookmarkStart w:id="0" w:name="_GoBack"/>
      <w:bookmarkEnd w:id="0"/>
    </w:p>
    <w:p w14:paraId="2E5E1D1A">
      <w:pPr>
        <w:pStyle w:val="3"/>
        <w:ind w:left="0" w:leftChars="0" w:firstLine="0" w:firstLineChars="0"/>
        <w:jc w:val="center"/>
      </w:pPr>
      <w:r>
        <w:drawing>
          <wp:inline distT="0" distB="0" distL="114300" distR="114300">
            <wp:extent cx="6182995" cy="5900420"/>
            <wp:effectExtent l="0" t="0" r="825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182995" cy="5900420"/>
                    </a:xfrm>
                    <a:prstGeom prst="rect">
                      <a:avLst/>
                    </a:prstGeom>
                    <a:noFill/>
                    <a:ln>
                      <a:noFill/>
                    </a:ln>
                  </pic:spPr>
                </pic:pic>
              </a:graphicData>
            </a:graphic>
          </wp:inline>
        </w:drawing>
      </w:r>
    </w:p>
    <w:sectPr>
      <w:pgSz w:w="11910" w:h="16840"/>
      <w:pgMar w:top="405" w:right="625" w:bottom="0" w:left="5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EEB7CE"/>
    <w:multiLevelType w:val="singleLevel"/>
    <w:tmpl w:val="3DEEB7C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EyNGU5MjFiZWU2ZTkyMTZhZDU5NDk5ZTg5NzZkMzcifQ=="/>
  </w:docVars>
  <w:rsids>
    <w:rsidRoot w:val="00000000"/>
    <w:rsid w:val="10950625"/>
    <w:rsid w:val="1218192A"/>
    <w:rsid w:val="16155F88"/>
    <w:rsid w:val="18DD6250"/>
    <w:rsid w:val="18DE5A14"/>
    <w:rsid w:val="2225242F"/>
    <w:rsid w:val="2BAC1E16"/>
    <w:rsid w:val="2F3D6E1E"/>
    <w:rsid w:val="3C8D44AB"/>
    <w:rsid w:val="442171A7"/>
    <w:rsid w:val="4D613236"/>
    <w:rsid w:val="4FE62ED7"/>
    <w:rsid w:val="50D93961"/>
    <w:rsid w:val="51F021AD"/>
    <w:rsid w:val="54BB1B63"/>
    <w:rsid w:val="5B9434BE"/>
    <w:rsid w:val="5D064100"/>
    <w:rsid w:val="5E2C34E8"/>
    <w:rsid w:val="64B11701"/>
    <w:rsid w:val="67FD6F7B"/>
    <w:rsid w:val="68830971"/>
    <w:rsid w:val="6B3E3B32"/>
    <w:rsid w:val="6FBF72AC"/>
    <w:rsid w:val="73983492"/>
    <w:rsid w:val="75EC1DF4"/>
    <w:rsid w:val="7FB941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Body Text 2"/>
    <w:basedOn w:val="1"/>
    <w:next w:val="2"/>
    <w:qFormat/>
    <w:uiPriority w:val="0"/>
    <w:pPr>
      <w:spacing w:after="120" w:line="480" w:lineRule="auto"/>
      <w:ind w:firstLine="560" w:firstLineChars="200"/>
    </w:pPr>
    <w:rPr>
      <w:rFonts w:ascii="Calibri" w:hAnsi="Calibri" w:eastAsia="仿宋_GB2312"/>
      <w:sz w:val="28"/>
      <w:szCs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1443</Words>
  <Characters>1501</Characters>
  <TotalTime>1</TotalTime>
  <ScaleCrop>false</ScaleCrop>
  <LinksUpToDate>false</LinksUpToDate>
  <CharactersWithSpaces>1538</CharactersWithSpaces>
  <Application>WPS Office_12.1.0.18543_F1E327BC-269C-435d-A152-05C5408002CA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2024-04-18T16:26:00Z</dcterms:created>
  <dc:creator>Administrator</dc:creator>
  <cp:lastModifiedBy>驻马店市中医院招标办</cp:lastModifiedBy>
  <cp:lastPrinted>2024-10-11T02:09:00Z</cp:lastPrinted>
  <dcterms:modified xsi:type="dcterms:W3CDTF">2024-10-15T09:07:19Z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2024-04-18T16:26:51Z</vt:filetime>
  </property>
  <property fmtid="{D5CDD505-2E9C-101B-9397-08002B2CF9AE}" pid="4" name="UsrData">
    <vt:lpwstr>6620d9482c5135001f4fd140wl</vt:lpwstr>
  </property>
  <property fmtid="{D5CDD505-2E9C-101B-9397-08002B2CF9AE}" pid="5" name="KSOProductBuildVer">
    <vt:lpwstr>2052-12.1.0.18543</vt:lpwstr>
  </property>
  <property fmtid="{D5CDD505-2E9C-101B-9397-08002B2CF9AE}" pid="6" name="ICV">
    <vt:lpwstr>6E97C39497E640449EBAA19C424C119D_13</vt:lpwstr>
  </property>
</Properties>
</file>