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F7" w:rsidRDefault="000E4A1F" w:rsidP="00410264">
      <w:pPr>
        <w:rPr>
          <w:rStyle w:val="NormalCharacter"/>
          <w:rFonts w:ascii="楷体_GB2312" w:eastAsia="楷体_GB2312" w:hAnsi="楷体_GB2312" w:cs="楷体_GB2312"/>
          <w:b/>
          <w:bCs/>
          <w:sz w:val="28"/>
          <w:szCs w:val="32"/>
        </w:rPr>
      </w:pPr>
      <w:r w:rsidRPr="00410264">
        <w:rPr>
          <w:rStyle w:val="NormalCharacter"/>
          <w:rFonts w:ascii="楷体_GB2312" w:eastAsia="楷体_GB2312" w:hAnsi="楷体_GB2312" w:cs="楷体_GB2312"/>
          <w:b/>
          <w:bCs/>
          <w:sz w:val="28"/>
          <w:szCs w:val="32"/>
        </w:rPr>
        <w:t>1、软件部分</w:t>
      </w:r>
    </w:p>
    <w:tbl>
      <w:tblPr>
        <w:tblW w:w="8931"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FFFF"/>
      </w:tblPr>
      <w:tblGrid>
        <w:gridCol w:w="1001"/>
        <w:gridCol w:w="1943"/>
        <w:gridCol w:w="5987"/>
      </w:tblGrid>
      <w:tr w:rsidR="00791FF7">
        <w:tblPrEx>
          <w:tblCellMar>
            <w:top w:w="0" w:type="dxa"/>
            <w:bottom w:w="0" w:type="dxa"/>
          </w:tblCellMar>
        </w:tblPrEx>
        <w:trPr>
          <w:trHeight w:val="312"/>
        </w:trPr>
        <w:tc>
          <w:tcPr>
            <w:tcW w:w="8931" w:type="dxa"/>
            <w:gridSpan w:val="3"/>
            <w:tcBorders>
              <w:top w:val="single" w:sz="12" w:space="0" w:color="000000"/>
              <w:left w:val="single" w:sz="12" w:space="0" w:color="000000"/>
              <w:bottom w:val="single" w:sz="6" w:space="0" w:color="000000"/>
              <w:right w:val="single" w:sz="12" w:space="0" w:color="000000"/>
            </w:tcBorders>
            <w:shd w:val="clear" w:color="auto" w:fill="8DB3E2"/>
            <w:vAlign w:val="center"/>
          </w:tcPr>
          <w:p w:rsidR="00791FF7" w:rsidRPr="00E83226" w:rsidRDefault="000E4A1F" w:rsidP="00575964">
            <w:pPr>
              <w:spacing w:before="156" w:after="156" w:line="300" w:lineRule="auto"/>
              <w:jc w:val="center"/>
              <w:rPr>
                <w:rStyle w:val="NormalCharacter"/>
                <w:rFonts w:ascii="FangSong" w:eastAsia="FangSong" w:hAnsi="FangSong"/>
                <w:b/>
                <w:sz w:val="28"/>
                <w:szCs w:val="28"/>
              </w:rPr>
            </w:pPr>
            <w:r w:rsidRPr="00E83226">
              <w:rPr>
                <w:rStyle w:val="NormalCharacter"/>
                <w:rFonts w:ascii="微软雅黑" w:eastAsia="微软雅黑" w:hAnsi="微软雅黑" w:cs="宋体"/>
                <w:b/>
                <w:bCs/>
                <w:sz w:val="28"/>
                <w:szCs w:val="28"/>
              </w:rPr>
              <w:t>后勤一站式管理平台建设内容</w:t>
            </w:r>
          </w:p>
        </w:tc>
      </w:tr>
      <w:tr w:rsidR="00791FF7">
        <w:tblPrEx>
          <w:tblCellMar>
            <w:top w:w="0" w:type="dxa"/>
            <w:bottom w:w="0" w:type="dxa"/>
          </w:tblCellMar>
        </w:tblPrEx>
        <w:trPr>
          <w:trHeight w:val="312"/>
        </w:trPr>
        <w:tc>
          <w:tcPr>
            <w:tcW w:w="1001" w:type="dxa"/>
            <w:tcBorders>
              <w:top w:val="single" w:sz="6" w:space="0" w:color="000000"/>
              <w:left w:val="single" w:sz="12" w:space="0" w:color="000000"/>
              <w:bottom w:val="single" w:sz="6" w:space="0" w:color="000000"/>
              <w:right w:val="single" w:sz="6" w:space="0" w:color="000000"/>
            </w:tcBorders>
            <w:shd w:val="clear" w:color="auto" w:fill="8DB3E2"/>
            <w:vAlign w:val="center"/>
          </w:tcPr>
          <w:p w:rsidR="00791FF7" w:rsidRDefault="000E4A1F">
            <w:pPr>
              <w:spacing w:line="300" w:lineRule="auto"/>
              <w:jc w:val="center"/>
              <w:rPr>
                <w:rStyle w:val="NormalCharacter"/>
                <w:rFonts w:ascii="微软雅黑" w:eastAsia="微软雅黑" w:hAnsi="微软雅黑" w:cs="宋体"/>
                <w:b/>
                <w:bCs/>
                <w:sz w:val="24"/>
                <w:szCs w:val="24"/>
              </w:rPr>
            </w:pPr>
            <w:r>
              <w:rPr>
                <w:rStyle w:val="NormalCharacter"/>
                <w:rFonts w:ascii="微软雅黑" w:eastAsia="微软雅黑" w:hAnsi="微软雅黑" w:cs="宋体"/>
                <w:b/>
                <w:bCs/>
                <w:sz w:val="24"/>
                <w:szCs w:val="24"/>
              </w:rPr>
              <w:t>序号</w:t>
            </w:r>
          </w:p>
        </w:tc>
        <w:tc>
          <w:tcPr>
            <w:tcW w:w="1943" w:type="dxa"/>
            <w:tcBorders>
              <w:top w:val="single" w:sz="6" w:space="0" w:color="000000"/>
              <w:left w:val="single" w:sz="6" w:space="0" w:color="000000"/>
              <w:bottom w:val="single" w:sz="6" w:space="0" w:color="000000"/>
              <w:right w:val="single" w:sz="6" w:space="0" w:color="000000"/>
            </w:tcBorders>
            <w:shd w:val="clear" w:color="auto" w:fill="8DB3E2"/>
            <w:vAlign w:val="center"/>
          </w:tcPr>
          <w:p w:rsidR="00791FF7" w:rsidRPr="00E83226" w:rsidRDefault="000E4A1F">
            <w:pPr>
              <w:spacing w:line="300" w:lineRule="auto"/>
              <w:jc w:val="center"/>
              <w:rPr>
                <w:rStyle w:val="NormalCharacter"/>
                <w:rFonts w:ascii="微软雅黑" w:eastAsia="微软雅黑" w:hAnsi="微软雅黑" w:cs="宋体"/>
                <w:b/>
                <w:bCs/>
                <w:sz w:val="24"/>
                <w:szCs w:val="24"/>
              </w:rPr>
            </w:pPr>
            <w:r w:rsidRPr="00E83226">
              <w:rPr>
                <w:rStyle w:val="NormalCharacter"/>
                <w:rFonts w:ascii="微软雅黑" w:eastAsia="微软雅黑" w:hAnsi="微软雅黑" w:cs="宋体"/>
                <w:b/>
                <w:bCs/>
                <w:sz w:val="24"/>
                <w:szCs w:val="24"/>
              </w:rPr>
              <w:t>模块功能</w:t>
            </w:r>
          </w:p>
        </w:tc>
        <w:tc>
          <w:tcPr>
            <w:tcW w:w="5987" w:type="dxa"/>
            <w:tcBorders>
              <w:top w:val="single" w:sz="6" w:space="0" w:color="000000"/>
              <w:left w:val="single" w:sz="6" w:space="0" w:color="000000"/>
              <w:bottom w:val="single" w:sz="6" w:space="0" w:color="000000"/>
              <w:right w:val="single" w:sz="12" w:space="0" w:color="000000"/>
            </w:tcBorders>
            <w:shd w:val="clear" w:color="auto" w:fill="8DB3E2"/>
            <w:vAlign w:val="center"/>
          </w:tcPr>
          <w:p w:rsidR="00791FF7" w:rsidRPr="00E83226" w:rsidRDefault="000E4A1F">
            <w:pPr>
              <w:spacing w:line="300" w:lineRule="auto"/>
              <w:jc w:val="center"/>
              <w:rPr>
                <w:rStyle w:val="NormalCharacter"/>
                <w:rFonts w:ascii="微软雅黑" w:eastAsia="微软雅黑" w:hAnsi="微软雅黑"/>
                <w:b/>
                <w:sz w:val="24"/>
                <w:szCs w:val="24"/>
              </w:rPr>
            </w:pPr>
            <w:r w:rsidRPr="00E83226">
              <w:rPr>
                <w:rStyle w:val="NormalCharacter"/>
                <w:rFonts w:ascii="微软雅黑" w:eastAsia="微软雅黑" w:hAnsi="微软雅黑"/>
                <w:b/>
                <w:sz w:val="24"/>
                <w:szCs w:val="24"/>
              </w:rPr>
              <w:t>模块参数</w:t>
            </w:r>
          </w:p>
        </w:tc>
      </w:tr>
      <w:tr w:rsidR="00791FF7">
        <w:tblPrEx>
          <w:tblCellMar>
            <w:top w:w="0" w:type="dxa"/>
            <w:bottom w:w="0" w:type="dxa"/>
          </w:tblCellMar>
        </w:tblPrEx>
        <w:trPr>
          <w:trHeight w:val="312"/>
        </w:trPr>
        <w:tc>
          <w:tcPr>
            <w:tcW w:w="1001" w:type="dxa"/>
            <w:tcBorders>
              <w:top w:val="single" w:sz="6" w:space="0" w:color="000000"/>
              <w:left w:val="single" w:sz="12" w:space="0" w:color="000000"/>
              <w:bottom w:val="single" w:sz="6" w:space="0" w:color="000000"/>
              <w:right w:val="single" w:sz="6" w:space="0" w:color="000000"/>
            </w:tcBorders>
            <w:shd w:val="clear" w:color="auto" w:fill="92D050"/>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1</w:t>
            </w:r>
          </w:p>
        </w:tc>
        <w:tc>
          <w:tcPr>
            <w:tcW w:w="194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791FF7" w:rsidRDefault="000E4A1F">
            <w:pPr>
              <w:spacing w:line="300" w:lineRule="auto"/>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一站式服务中心</w:t>
            </w:r>
          </w:p>
        </w:tc>
        <w:tc>
          <w:tcPr>
            <w:tcW w:w="5987" w:type="dxa"/>
            <w:tcBorders>
              <w:top w:val="single" w:sz="6" w:space="0" w:color="000000"/>
              <w:left w:val="single" w:sz="6" w:space="0" w:color="000000"/>
              <w:bottom w:val="single" w:sz="6" w:space="0" w:color="000000"/>
              <w:right w:val="single" w:sz="12" w:space="0" w:color="000000"/>
            </w:tcBorders>
            <w:shd w:val="clear" w:color="auto" w:fill="92D050"/>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后勤服务需求与任务集散地。主要功能：受理、登记、修改临床需求，任务调度，服务满意度回访等</w:t>
            </w:r>
          </w:p>
        </w:tc>
      </w:tr>
      <w:tr w:rsidR="00791FF7">
        <w:tblPrEx>
          <w:tblCellMar>
            <w:top w:w="0" w:type="dxa"/>
            <w:bottom w:w="0" w:type="dxa"/>
          </w:tblCellMar>
        </w:tblPrEx>
        <w:trPr>
          <w:trHeight w:val="12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1.1</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任务提醒</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一站式服务中心接收到临床网络申请工单后，系统有任务提醒功能，支持弹屏提醒、声音提醒，操作员可通过提醒界面直接进入工单进行调度，将任务工单分配到对应服务班组，提高工单处理及时率。</w:t>
            </w:r>
          </w:p>
        </w:tc>
      </w:tr>
      <w:tr w:rsidR="00791FF7">
        <w:tblPrEx>
          <w:tblCellMar>
            <w:top w:w="0" w:type="dxa"/>
            <w:bottom w:w="0" w:type="dxa"/>
          </w:tblCellMar>
        </w:tblPrEx>
        <w:trPr>
          <w:trHeight w:val="390"/>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1.2</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调度分配</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一站式服务中心接收到临床网络申请工单后，可通过系统进行任务调度派工，分派工单到指定服务班组或服务人员提供服务。</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1.3</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来电弹屏</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当临床用户通过院内分机来电报修时，系统可自动识别来电号码并弹屏提醒，提醒内容可包括来电号码，来电科室，科室位置等。</w:t>
            </w:r>
          </w:p>
        </w:tc>
      </w:tr>
      <w:tr w:rsidR="00791FF7">
        <w:tblPrEx>
          <w:tblCellMar>
            <w:top w:w="0" w:type="dxa"/>
            <w:bottom w:w="0" w:type="dxa"/>
          </w:tblCellMar>
        </w:tblPrEx>
        <w:trPr>
          <w:trHeight w:val="49"/>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1.4</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新建工单</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一站式服务中心坐席根据科室来电或其他来源的需求进行工单登记。</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1.5</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修改工单</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一站式服务中心坐席若发现工单登记信息有误或需求有误的工单，系统提供工单修改权限，授权操作员可对该类工单进行修改更正。</w:t>
            </w:r>
          </w:p>
        </w:tc>
      </w:tr>
      <w:tr w:rsidR="00791FF7">
        <w:tblPrEx>
          <w:tblCellMar>
            <w:top w:w="0" w:type="dxa"/>
            <w:bottom w:w="0" w:type="dxa"/>
          </w:tblCellMar>
        </w:tblPrEx>
        <w:trPr>
          <w:trHeight w:val="53"/>
        </w:trPr>
        <w:tc>
          <w:tcPr>
            <w:tcW w:w="1001" w:type="dxa"/>
            <w:tcBorders>
              <w:top w:val="single" w:sz="6" w:space="0" w:color="000000"/>
              <w:left w:val="single" w:sz="12" w:space="0" w:color="000000"/>
              <w:bottom w:val="single" w:sz="6" w:space="0" w:color="000000"/>
              <w:right w:val="single" w:sz="6" w:space="0" w:color="000000"/>
            </w:tcBorders>
            <w:shd w:val="clear" w:color="auto" w:fill="92D050"/>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w:t>
            </w:r>
          </w:p>
        </w:tc>
        <w:tc>
          <w:tcPr>
            <w:tcW w:w="194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维修管理</w:t>
            </w:r>
          </w:p>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（含移动维修）</w:t>
            </w:r>
          </w:p>
        </w:tc>
        <w:tc>
          <w:tcPr>
            <w:tcW w:w="5987" w:type="dxa"/>
            <w:tcBorders>
              <w:top w:val="single" w:sz="6" w:space="0" w:color="000000"/>
              <w:left w:val="single" w:sz="6" w:space="0" w:color="000000"/>
              <w:bottom w:val="single" w:sz="6" w:space="0" w:color="000000"/>
              <w:right w:val="single" w:sz="12" w:space="0" w:color="000000"/>
            </w:tcBorders>
            <w:shd w:val="clear" w:color="auto" w:fill="92D050"/>
            <w:vAlign w:val="center"/>
          </w:tcPr>
          <w:p w:rsidR="00791FF7" w:rsidRDefault="000E4A1F" w:rsidP="00F07906">
            <w:pPr>
              <w:spacing w:line="300" w:lineRule="auto"/>
              <w:rPr>
                <w:rStyle w:val="NormalCharacter"/>
                <w:rFonts w:ascii="楷体" w:eastAsia="楷体" w:hAnsi="楷体"/>
                <w:sz w:val="24"/>
                <w:szCs w:val="24"/>
              </w:rPr>
            </w:pPr>
            <w:r>
              <w:rPr>
                <w:rStyle w:val="NormalCharacter"/>
                <w:rFonts w:ascii="楷体" w:eastAsia="楷体" w:hAnsi="楷体"/>
                <w:sz w:val="24"/>
                <w:szCs w:val="24"/>
              </w:rPr>
              <w:t>实现维修全过程管理</w:t>
            </w:r>
            <w:r w:rsidR="00586A71">
              <w:rPr>
                <w:rStyle w:val="NormalCharacter"/>
                <w:rFonts w:ascii="楷体" w:eastAsia="楷体" w:hAnsi="楷体"/>
                <w:sz w:val="24"/>
                <w:szCs w:val="24"/>
              </w:rPr>
              <w:t>。</w:t>
            </w:r>
            <w:r>
              <w:rPr>
                <w:rStyle w:val="NormalCharacter"/>
                <w:rFonts w:ascii="楷体" w:eastAsia="楷体" w:hAnsi="楷体"/>
                <w:sz w:val="24"/>
                <w:szCs w:val="24"/>
              </w:rPr>
              <w:t>要功能：网络报修，班组派工，过程记录，材料、工时、费用登记等。</w:t>
            </w:r>
          </w:p>
        </w:tc>
      </w:tr>
      <w:tr w:rsidR="00791FF7">
        <w:tblPrEx>
          <w:tblCellMar>
            <w:top w:w="0" w:type="dxa"/>
            <w:bottom w:w="0" w:type="dxa"/>
          </w:tblCellMar>
        </w:tblPrEx>
        <w:trPr>
          <w:trHeight w:val="1872"/>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报修登记</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当临床用户通过院内分机来电报修时，系统可自动识别来电号码并弹屏提醒，提醒内容可包括来电号码，来电科室，科室位置等。一站式服务坐席可通过来电提醒界面直接进入工单登记界面，相关基础信息系统自动匹配，无需再次输入。</w:t>
            </w:r>
          </w:p>
        </w:tc>
      </w:tr>
      <w:tr w:rsidR="00791FF7">
        <w:tblPrEx>
          <w:tblCellMar>
            <w:top w:w="0" w:type="dxa"/>
            <w:bottom w:w="0" w:type="dxa"/>
          </w:tblCellMar>
        </w:tblPrEx>
        <w:trPr>
          <w:trHeight w:val="1248"/>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2.2</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任务提醒</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一站式服务中心将任务工单分派到班组后，班组管理系统自动弹屏新任务提醒，操作员可由任务提醒界面直接进入相应工单，进行查看详情进行派工处理。</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lastRenderedPageBreak/>
              <w:t>2.3</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维修派工</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维修班组接收一站服务中心分配的的任务后，可通过系统进行派工处理，安排相对应的维修人员去现场处理。系统支持纸质工单打印。</w:t>
            </w:r>
          </w:p>
        </w:tc>
      </w:tr>
      <w:tr w:rsidR="00791FF7">
        <w:tblPrEx>
          <w:tblCellMar>
            <w:top w:w="0" w:type="dxa"/>
            <w:bottom w:w="0" w:type="dxa"/>
          </w:tblCellMar>
        </w:tblPrEx>
        <w:trPr>
          <w:trHeight w:val="624"/>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2.4</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工单打印</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系统支持服务需求工单的打印，打印格式可根据用户需求定制。</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2.5</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维修接单</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维修人员可通过系统接受一站式服务中心及班组长指派的维修任务，点击接收表示认领维修任务，点击开始表示正式开始维修。</w:t>
            </w:r>
          </w:p>
        </w:tc>
      </w:tr>
      <w:tr w:rsidR="00791FF7">
        <w:tblPrEx>
          <w:tblCellMar>
            <w:top w:w="0" w:type="dxa"/>
            <w:bottom w:w="0" w:type="dxa"/>
          </w:tblCellMar>
        </w:tblPrEx>
        <w:trPr>
          <w:trHeight w:val="1872"/>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2.6</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工单暂停及恢复</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接受班组派工后，进行现场服务，发现维修服务暂时无法完成，如所需材料、配件短缺，需外送大修，需维保商维修等情况，可通过系统将工单暂停，进行暂停说明等待维修条件成熟后恢复工单，暂停信息通过系统即时反馈报修人，避免不必要的催单。</w:t>
            </w:r>
          </w:p>
        </w:tc>
      </w:tr>
      <w:tr w:rsidR="00791FF7">
        <w:tblPrEx>
          <w:tblCellMar>
            <w:top w:w="0" w:type="dxa"/>
            <w:bottom w:w="0" w:type="dxa"/>
          </w:tblCellMar>
        </w:tblPrEx>
        <w:trPr>
          <w:trHeight w:val="1248"/>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2.7</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工单转新单</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维修人员进行现场维修时发现所接受的维修任务存在不属于本班组不能进行处理故障时，可通过系统进行转新单操作，说明转单原因提交后由一站式服务中心进行新工单的任务指派。</w:t>
            </w:r>
          </w:p>
        </w:tc>
      </w:tr>
      <w:tr w:rsidR="00791FF7">
        <w:tblPrEx>
          <w:tblCellMar>
            <w:top w:w="0" w:type="dxa"/>
            <w:bottom w:w="0" w:type="dxa"/>
          </w:tblCellMar>
        </w:tblPrEx>
        <w:trPr>
          <w:trHeight w:val="1560"/>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2.8</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工单作废</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维修人员进行现场维修时发现该工单所报维修事项为误报不需要维修，或该事项已不能维修需要采购更新或其他特殊情况不再需要提供维修服务的，可通过系统说明原因后对该工单进行作废处理。</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2.9</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工单进度查询</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报修人可通过系统进行维修工单的进度跟踪，实时掌握维修进展情况，如是否已派工，接单维修人员是谁，何时开始维修，何时完工等。</w:t>
            </w:r>
          </w:p>
        </w:tc>
      </w:tr>
      <w:tr w:rsidR="00791FF7">
        <w:tblPrEx>
          <w:tblCellMar>
            <w:top w:w="0" w:type="dxa"/>
            <w:bottom w:w="0" w:type="dxa"/>
          </w:tblCellMar>
        </w:tblPrEx>
        <w:trPr>
          <w:trHeight w:val="1560"/>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2.10</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维修协助</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维修人员进行现场维修时发现所接受的维修任务不能独自完成需要其他人员协助方能完成维修，可通过系统发起协助请求，选择对应的协助人员进行维修协助，协助人员即时收到协助信息进行协助反馈。</w:t>
            </w:r>
          </w:p>
        </w:tc>
      </w:tr>
      <w:tr w:rsidR="00791FF7">
        <w:tblPrEx>
          <w:tblCellMar>
            <w:top w:w="0" w:type="dxa"/>
            <w:bottom w:w="0" w:type="dxa"/>
          </w:tblCellMar>
        </w:tblPrEx>
        <w:trPr>
          <w:trHeight w:val="2184"/>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2.11</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维修跟进</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接受班组派工后，进行现场服务，发现维修服务暂时无法完成，如所需材料、配件短缺，需外送大修，需维保商维修等情况，可通过系统将工单暂停，进行跟进处理，录入暂停说明，等待维修条件成熟后恢复工单，暂停信息通过系统即时反馈报修人，避免不必要的催单。</w:t>
            </w:r>
          </w:p>
        </w:tc>
      </w:tr>
      <w:tr w:rsidR="00791FF7">
        <w:tblPrEx>
          <w:tblCellMar>
            <w:top w:w="0" w:type="dxa"/>
            <w:bottom w:w="0" w:type="dxa"/>
          </w:tblCellMar>
        </w:tblPrEx>
        <w:trPr>
          <w:trHeight w:val="21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lastRenderedPageBreak/>
              <w:t>2.12</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维修完工</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维修人员完成现场维修任务后，维修班组对该项维修工单进行完工处理，将结果反馈给一站式服务中心及报修人。</w:t>
            </w:r>
          </w:p>
        </w:tc>
      </w:tr>
      <w:tr w:rsidR="00791FF7">
        <w:tblPrEx>
          <w:tblCellMar>
            <w:top w:w="0" w:type="dxa"/>
            <w:bottom w:w="0" w:type="dxa"/>
          </w:tblCellMar>
        </w:tblPrEx>
        <w:trPr>
          <w:trHeight w:val="1248"/>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2.13</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0E4A1F">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未完工回访</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0E4A1F">
            <w:pPr>
              <w:spacing w:line="300" w:lineRule="auto"/>
              <w:rPr>
                <w:rStyle w:val="NormalCharacter"/>
                <w:rFonts w:ascii="楷体" w:eastAsia="楷体" w:hAnsi="楷体"/>
                <w:sz w:val="24"/>
                <w:szCs w:val="24"/>
              </w:rPr>
            </w:pPr>
            <w:r>
              <w:rPr>
                <w:rStyle w:val="NormalCharacter"/>
                <w:rFonts w:ascii="楷体" w:eastAsia="楷体" w:hAnsi="楷体"/>
                <w:sz w:val="24"/>
                <w:szCs w:val="24"/>
              </w:rPr>
              <w:t>同时针对未完工的工单，调度中心人员需要进行主动回访，系统会对未完工的工单进行回访提醒，也会在电子显示屏上标记未完工工单。同时调度中心人员可以通过报表进行查询。</w:t>
            </w:r>
          </w:p>
        </w:tc>
      </w:tr>
      <w:tr w:rsidR="00791FF7">
        <w:tblPrEx>
          <w:tblCellMar>
            <w:top w:w="0" w:type="dxa"/>
            <w:bottom w:w="0" w:type="dxa"/>
          </w:tblCellMar>
        </w:tblPrEx>
        <w:trPr>
          <w:trHeight w:val="53"/>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2.14</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维修用料登记</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rsidP="00661D80">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维修人员在维修服务过程中发现维修需要使用相关配件、材料，可在系统中针对该工单添加维修用料，并将用料信息实时反馈给报修人进行查询确认。</w:t>
            </w:r>
          </w:p>
        </w:tc>
      </w:tr>
      <w:tr w:rsidR="00791FF7">
        <w:tblPrEx>
          <w:tblCellMar>
            <w:top w:w="0" w:type="dxa"/>
            <w:bottom w:w="0" w:type="dxa"/>
          </w:tblCellMar>
        </w:tblPrEx>
        <w:trPr>
          <w:trHeight w:val="53"/>
        </w:trPr>
        <w:tc>
          <w:tcPr>
            <w:tcW w:w="1001" w:type="dxa"/>
            <w:tcBorders>
              <w:top w:val="single" w:sz="6" w:space="0" w:color="000000"/>
              <w:left w:val="single" w:sz="12" w:space="0" w:color="000000"/>
              <w:bottom w:val="single" w:sz="12"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2.15</w:t>
            </w:r>
          </w:p>
        </w:tc>
        <w:tc>
          <w:tcPr>
            <w:tcW w:w="1943" w:type="dxa"/>
            <w:tcBorders>
              <w:top w:val="single" w:sz="6" w:space="0" w:color="000000"/>
              <w:left w:val="single" w:sz="6" w:space="0" w:color="000000"/>
              <w:bottom w:val="single" w:sz="12" w:space="0" w:color="000000"/>
              <w:right w:val="single" w:sz="6" w:space="0" w:color="000000"/>
            </w:tcBorders>
            <w:vAlign w:val="center"/>
          </w:tcPr>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维修工时费用</w:t>
            </w:r>
          </w:p>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登记</w:t>
            </w:r>
          </w:p>
        </w:tc>
        <w:tc>
          <w:tcPr>
            <w:tcW w:w="5987" w:type="dxa"/>
            <w:tcBorders>
              <w:top w:val="single" w:sz="6" w:space="0" w:color="000000"/>
              <w:left w:val="single" w:sz="6" w:space="0" w:color="000000"/>
              <w:bottom w:val="single" w:sz="12" w:space="0" w:color="000000"/>
              <w:right w:val="single" w:sz="12" w:space="0" w:color="000000"/>
            </w:tcBorders>
            <w:vAlign w:val="center"/>
          </w:tcPr>
          <w:p w:rsidR="00791FF7" w:rsidRDefault="00586A71" w:rsidP="00661D80">
            <w:pPr>
              <w:spacing w:line="300" w:lineRule="auto"/>
              <w:rPr>
                <w:rStyle w:val="NormalCharacter"/>
                <w:rFonts w:ascii="楷体" w:eastAsia="楷体" w:hAnsi="楷体"/>
                <w:sz w:val="24"/>
                <w:szCs w:val="24"/>
              </w:rPr>
            </w:pPr>
            <w:r>
              <w:rPr>
                <w:rStyle w:val="NormalCharacter"/>
                <w:rFonts w:ascii="楷体" w:eastAsia="楷体" w:hAnsi="楷体"/>
                <w:sz w:val="24"/>
                <w:szCs w:val="24"/>
              </w:rPr>
              <w:t>系统自动记录维修开始时间及完工时间，自动统计工时，费用，提供相关数据报表以供决策。</w:t>
            </w:r>
          </w:p>
        </w:tc>
      </w:tr>
      <w:tr w:rsidR="00791FF7">
        <w:tblPrEx>
          <w:tblCellMar>
            <w:top w:w="0" w:type="dxa"/>
            <w:bottom w:w="0" w:type="dxa"/>
          </w:tblCellMar>
        </w:tblPrEx>
        <w:trPr>
          <w:trHeight w:val="53"/>
        </w:trPr>
        <w:tc>
          <w:tcPr>
            <w:tcW w:w="1001" w:type="dxa"/>
            <w:tcBorders>
              <w:top w:val="single" w:sz="12"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2.16</w:t>
            </w:r>
          </w:p>
        </w:tc>
        <w:tc>
          <w:tcPr>
            <w:tcW w:w="1943" w:type="dxa"/>
            <w:tcBorders>
              <w:top w:val="single" w:sz="12" w:space="0" w:color="000000"/>
              <w:left w:val="single" w:sz="6" w:space="0" w:color="000000"/>
              <w:bottom w:val="single" w:sz="6" w:space="0" w:color="000000"/>
              <w:right w:val="single" w:sz="6" w:space="0" w:color="000000"/>
            </w:tcBorders>
            <w:vAlign w:val="center"/>
          </w:tcPr>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接单任务</w:t>
            </w:r>
          </w:p>
        </w:tc>
        <w:tc>
          <w:tcPr>
            <w:tcW w:w="5987" w:type="dxa"/>
            <w:tcBorders>
              <w:top w:val="single" w:sz="12" w:space="0" w:color="000000"/>
              <w:left w:val="single" w:sz="6" w:space="0" w:color="000000"/>
              <w:bottom w:val="single" w:sz="6" w:space="0" w:color="000000"/>
              <w:right w:val="single" w:sz="12" w:space="0" w:color="000000"/>
            </w:tcBorders>
            <w:vAlign w:val="center"/>
          </w:tcPr>
          <w:p w:rsidR="00791FF7" w:rsidRDefault="00586A71" w:rsidP="00661D80">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维修人员可通过移动手持终端查询到当前班组内所有“未派工”的维修任务，可根据自身实际忙闲情况对任务工单进行接单，抢单操作，避免班组与现场间的往返，提高工作效率。</w:t>
            </w:r>
          </w:p>
        </w:tc>
      </w:tr>
      <w:tr w:rsidR="00791FF7">
        <w:tblPrEx>
          <w:tblCellMar>
            <w:top w:w="0" w:type="dxa"/>
            <w:bottom w:w="0" w:type="dxa"/>
          </w:tblCellMar>
        </w:tblPrEx>
        <w:trPr>
          <w:trHeight w:val="1248"/>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2.17</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维修任务</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rsidP="00661D80">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通过移动终端接单后进行现场作业，可通过系统现场实时记录维修情况，支持维修跟进信息录入，维修耗材、配件信息录入等，支持现场拍照上传，用于说明维修完成情况，所有信息均可实时反馈至临床。</w:t>
            </w:r>
          </w:p>
        </w:tc>
      </w:tr>
      <w:tr w:rsidR="00791FF7">
        <w:tblPrEx>
          <w:tblCellMar>
            <w:top w:w="0" w:type="dxa"/>
            <w:bottom w:w="0" w:type="dxa"/>
          </w:tblCellMar>
        </w:tblPrEx>
        <w:trPr>
          <w:trHeight w:val="1560"/>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2.18</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维修抢单</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rsidP="00661D80">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维修人员可通过移动手持终端查询到当前班组内所有“未派工”的维修任务，可根据自身实际忙闲情况对任务工单进行接单，抢单操作，</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2.19</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完工任务</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rsidP="00661D80">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维修人员可通过移动手持终端实时查询个人完工任务记录，了解个人工作量情况。</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2.20</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rsidP="00661D80">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移动报障</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rsidP="00661D80">
            <w:pPr>
              <w:spacing w:line="300" w:lineRule="auto"/>
              <w:rPr>
                <w:rStyle w:val="NormalCharacter"/>
                <w:rFonts w:ascii="楷体" w:eastAsia="楷体" w:hAnsi="楷体"/>
                <w:sz w:val="24"/>
                <w:szCs w:val="24"/>
              </w:rPr>
            </w:pPr>
            <w:r>
              <w:rPr>
                <w:rStyle w:val="NormalCharacter"/>
                <w:rFonts w:ascii="楷体" w:eastAsia="楷体" w:hAnsi="楷体"/>
                <w:sz w:val="24"/>
                <w:szCs w:val="24"/>
              </w:rPr>
              <w:t>维修人员发现不属于本班组或未进行故障报修登记的故障，可通过手持终端现场进行故障报修，提交报修工单到调度中心进行任务指派，系统支持拍照功能。</w:t>
            </w:r>
          </w:p>
        </w:tc>
      </w:tr>
      <w:tr w:rsidR="00791FF7">
        <w:tblPrEx>
          <w:tblCellMar>
            <w:top w:w="0" w:type="dxa"/>
            <w:bottom w:w="0" w:type="dxa"/>
          </w:tblCellMar>
        </w:tblPrEx>
        <w:trPr>
          <w:trHeight w:val="312"/>
        </w:trPr>
        <w:tc>
          <w:tcPr>
            <w:tcW w:w="1001" w:type="dxa"/>
            <w:tcBorders>
              <w:top w:val="single" w:sz="6" w:space="0" w:color="000000"/>
              <w:left w:val="single" w:sz="12" w:space="0" w:color="000000"/>
              <w:bottom w:val="single" w:sz="6" w:space="0" w:color="000000"/>
              <w:right w:val="single" w:sz="6" w:space="0" w:color="000000"/>
            </w:tcBorders>
            <w:shd w:val="clear" w:color="auto" w:fill="92D050"/>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w:t>
            </w:r>
          </w:p>
        </w:tc>
        <w:tc>
          <w:tcPr>
            <w:tcW w:w="194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791FF7" w:rsidRDefault="00586A71" w:rsidP="00FA1A6B">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报修小程序</w:t>
            </w:r>
          </w:p>
        </w:tc>
        <w:tc>
          <w:tcPr>
            <w:tcW w:w="5987" w:type="dxa"/>
            <w:tcBorders>
              <w:top w:val="single" w:sz="6" w:space="0" w:color="000000"/>
              <w:left w:val="single" w:sz="6" w:space="0" w:color="000000"/>
              <w:bottom w:val="single" w:sz="6" w:space="0" w:color="000000"/>
              <w:right w:val="single" w:sz="12" w:space="0" w:color="000000"/>
            </w:tcBorders>
            <w:shd w:val="clear" w:color="auto" w:fill="92D050"/>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实现报修、维修的移动化作业。主要功能：报修、接单、抢单、完工记录、评价等</w:t>
            </w:r>
          </w:p>
        </w:tc>
      </w:tr>
      <w:tr w:rsidR="00791FF7">
        <w:tblPrEx>
          <w:tblCellMar>
            <w:top w:w="0" w:type="dxa"/>
            <w:bottom w:w="0" w:type="dxa"/>
          </w:tblCellMar>
        </w:tblPrEx>
        <w:trPr>
          <w:trHeight w:val="1248"/>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lastRenderedPageBreak/>
              <w:t>3.1</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快速报修</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临床用户不仅可以通过利用传统的电话和PC端报修，同时还可以用报修小程序，选择高频报修内容或类别，进行快速的报修，节约临床用户的报修效率。</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3.2</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拍照上传</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临床用户在通过小程序进行报修的时候，可以对报修现场进行拍照上传，帮助调度人员和维修人员更准确的了解问题和故障。</w:t>
            </w:r>
          </w:p>
        </w:tc>
      </w:tr>
      <w:tr w:rsidR="00791FF7">
        <w:tblPrEx>
          <w:tblCellMar>
            <w:top w:w="0" w:type="dxa"/>
            <w:bottom w:w="0" w:type="dxa"/>
          </w:tblCellMar>
        </w:tblPrEx>
        <w:trPr>
          <w:trHeight w:val="53"/>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3.3</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涂鸦编辑</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为了帮助调度人员和维修人员更准确的了解问题和故障，临床用户还可以对上传的照片进行涂鸦编辑，把有问题和出故障的地方标记出来，突出重点。</w:t>
            </w:r>
          </w:p>
        </w:tc>
      </w:tr>
      <w:tr w:rsidR="00791FF7">
        <w:tblPrEx>
          <w:tblCellMar>
            <w:top w:w="0" w:type="dxa"/>
            <w:bottom w:w="0" w:type="dxa"/>
          </w:tblCellMar>
        </w:tblPrEx>
        <w:trPr>
          <w:trHeight w:val="624"/>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3.4</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进度查询</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报修人可以通过报修小程序，找到报修工单，实时在线查询工单的完成进度。</w:t>
            </w:r>
          </w:p>
        </w:tc>
      </w:tr>
      <w:tr w:rsidR="00791FF7">
        <w:tblPrEx>
          <w:tblCellMar>
            <w:top w:w="0" w:type="dxa"/>
            <w:bottom w:w="0" w:type="dxa"/>
          </w:tblCellMar>
        </w:tblPrEx>
        <w:trPr>
          <w:trHeight w:val="624"/>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3.5</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状态跟踪</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报修人可以通过报修小程序，实时在线查看工单的状态变化，了解工单的处理情况。</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3.6</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在线评价</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在维修人完成维修工单后，临床用户可以在移动APP上签字确认，同时临床报修人还可以通过小程序对报修工单进行在线评价。</w:t>
            </w:r>
          </w:p>
        </w:tc>
      </w:tr>
      <w:tr w:rsidR="00791FF7">
        <w:tblPrEx>
          <w:tblCellMar>
            <w:top w:w="0" w:type="dxa"/>
            <w:bottom w:w="0" w:type="dxa"/>
          </w:tblCellMar>
        </w:tblPrEx>
        <w:trPr>
          <w:trHeight w:val="53"/>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3.7</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历史查询</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临床用户可以通过小程序，对已经完成的历史报修工单进行查询，同时还可以查看历史工单的详情。</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3.8</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常用地址管理</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临床用户可以在系统中维护自己科室所属的位置，系统将自动保存为默认地址，方便临床用户快递报修。</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shd w:val="clear" w:color="auto" w:fill="92D050"/>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w:t>
            </w:r>
          </w:p>
        </w:tc>
        <w:tc>
          <w:tcPr>
            <w:tcW w:w="194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791FF7" w:rsidRDefault="00586A71">
            <w:pPr>
              <w:spacing w:line="300" w:lineRule="auto"/>
              <w:jc w:val="center"/>
              <w:rPr>
                <w:rStyle w:val="NormalCharacter"/>
                <w:rFonts w:ascii="FangSong" w:eastAsia="FangSong" w:hAnsi="FangSong"/>
                <w:b/>
                <w:sz w:val="24"/>
                <w:szCs w:val="24"/>
              </w:rPr>
            </w:pPr>
            <w:r>
              <w:rPr>
                <w:rStyle w:val="NormalCharacter"/>
                <w:rFonts w:ascii="FangSong" w:eastAsia="FangSong" w:hAnsi="FangSong"/>
                <w:b/>
                <w:sz w:val="24"/>
                <w:szCs w:val="24"/>
              </w:rPr>
              <w:t>仓库管理</w:t>
            </w:r>
          </w:p>
        </w:tc>
        <w:tc>
          <w:tcPr>
            <w:tcW w:w="5987" w:type="dxa"/>
            <w:tcBorders>
              <w:top w:val="single" w:sz="6" w:space="0" w:color="000000"/>
              <w:left w:val="single" w:sz="6" w:space="0" w:color="000000"/>
              <w:bottom w:val="single" w:sz="6" w:space="0" w:color="000000"/>
              <w:right w:val="single" w:sz="12" w:space="0" w:color="000000"/>
            </w:tcBorders>
            <w:shd w:val="clear" w:color="auto" w:fill="92D050"/>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实现维修耗材统一管控，可与医院现有库房管理系统对接。主要功能：维修单出库、维修耗材登记，材料低值预警等。</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4.1</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仓库信息维护</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可通过系统建立不同物料仓库对物料进行统一管理。</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4.2</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物料信息维护</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通过系统对仓库物料信息进行建档管理，系统支持物料数据导入及导出。</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4.3</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物料入库管理</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新近物料的入库处理，系统自动生成入库单号，操作员仅需选择入库仓库，入库物料，输入入库数量即可完成入库操作。</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4.4</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物料出库管理</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物料出库处理，系统自动生成出库单号，操作员仅需选择出库仓库，出库物料，输入出库数量即可完成出库操作。</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lastRenderedPageBreak/>
              <w:t>4.5</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物料出入库查询</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可通过系统实时查询物料仓库出入库历史记录，及时了解物料的出入库情况。</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4.6</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维修单出库</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根据维修单添加耗材，所需耗材从工程仓库中直接出库，耗材明细显示在维修单上，可实现快速检索和查询，统计分析。</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4.7</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低值预警</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可自定义预警值，当库存量低于预警值时系统自动预警提醒。</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12"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4.8</w:t>
            </w:r>
          </w:p>
        </w:tc>
        <w:tc>
          <w:tcPr>
            <w:tcW w:w="1943" w:type="dxa"/>
            <w:tcBorders>
              <w:top w:val="single" w:sz="6" w:space="0" w:color="000000"/>
              <w:left w:val="single" w:sz="6" w:space="0" w:color="000000"/>
              <w:bottom w:val="single" w:sz="12"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库存统计</w:t>
            </w:r>
          </w:p>
        </w:tc>
        <w:tc>
          <w:tcPr>
            <w:tcW w:w="5987" w:type="dxa"/>
            <w:tcBorders>
              <w:top w:val="single" w:sz="6" w:space="0" w:color="000000"/>
              <w:left w:val="single" w:sz="6" w:space="0" w:color="000000"/>
              <w:bottom w:val="single" w:sz="12"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可通过系统实时查询物料仓库仓储情况，了解物料库存状态，支持多条件组合查询，可通过仓库名，物料名，物料批次进行综合查询。</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12" w:space="0" w:color="000000"/>
              <w:right w:val="single" w:sz="6" w:space="0" w:color="000000"/>
            </w:tcBorders>
            <w:shd w:val="clear" w:color="auto" w:fill="92D050"/>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5</w:t>
            </w:r>
          </w:p>
        </w:tc>
        <w:tc>
          <w:tcPr>
            <w:tcW w:w="1943" w:type="dxa"/>
            <w:tcBorders>
              <w:top w:val="single" w:sz="6" w:space="0" w:color="000000"/>
              <w:left w:val="single" w:sz="6" w:space="0" w:color="000000"/>
              <w:bottom w:val="single" w:sz="12" w:space="0" w:color="000000"/>
              <w:right w:val="single" w:sz="6" w:space="0" w:color="000000"/>
            </w:tcBorders>
            <w:shd w:val="clear" w:color="auto" w:fill="92D050"/>
            <w:vAlign w:val="center"/>
          </w:tcPr>
          <w:p w:rsidR="00791FF7" w:rsidRDefault="00586A71">
            <w:pPr>
              <w:spacing w:line="300" w:lineRule="auto"/>
              <w:jc w:val="center"/>
              <w:rPr>
                <w:rStyle w:val="NormalCharacter"/>
                <w:rFonts w:ascii="FangSong" w:eastAsia="FangSong" w:hAnsi="FangSong"/>
                <w:b/>
                <w:sz w:val="24"/>
                <w:szCs w:val="24"/>
              </w:rPr>
            </w:pPr>
            <w:r>
              <w:rPr>
                <w:rStyle w:val="NormalCharacter"/>
                <w:rFonts w:ascii="FangSong" w:eastAsia="FangSong" w:hAnsi="FangSong"/>
                <w:b/>
                <w:sz w:val="24"/>
                <w:szCs w:val="24"/>
              </w:rPr>
              <w:t>报表管理</w:t>
            </w:r>
          </w:p>
        </w:tc>
        <w:tc>
          <w:tcPr>
            <w:tcW w:w="5987" w:type="dxa"/>
            <w:tcBorders>
              <w:top w:val="single" w:sz="6" w:space="0" w:color="000000"/>
              <w:left w:val="single" w:sz="6" w:space="0" w:color="000000"/>
              <w:bottom w:val="single" w:sz="12" w:space="0" w:color="000000"/>
              <w:right w:val="single" w:sz="12" w:space="0" w:color="000000"/>
            </w:tcBorders>
            <w:shd w:val="clear" w:color="auto" w:fill="92D050"/>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后勤各业务的运行数据，人员工作情况数据等多维度展示，为管理层提供各类分析报表供决策做数据支持。</w:t>
            </w:r>
          </w:p>
        </w:tc>
      </w:tr>
      <w:tr w:rsidR="00791FF7">
        <w:tblPrEx>
          <w:tblCellMar>
            <w:top w:w="0" w:type="dxa"/>
            <w:bottom w:w="0" w:type="dxa"/>
          </w:tblCellMar>
        </w:tblPrEx>
        <w:trPr>
          <w:trHeight w:val="936"/>
        </w:trPr>
        <w:tc>
          <w:tcPr>
            <w:tcW w:w="1001" w:type="dxa"/>
            <w:tcBorders>
              <w:top w:val="single" w:sz="12"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5.1</w:t>
            </w:r>
          </w:p>
        </w:tc>
        <w:tc>
          <w:tcPr>
            <w:tcW w:w="1943" w:type="dxa"/>
            <w:tcBorders>
              <w:top w:val="single" w:sz="12"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维修统计查询</w:t>
            </w:r>
          </w:p>
        </w:tc>
        <w:tc>
          <w:tcPr>
            <w:tcW w:w="5987" w:type="dxa"/>
            <w:tcBorders>
              <w:top w:val="single" w:sz="12"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系统提供多维度、多口径分析统计报表，包括维修类别、报修趋势、工单完成率、工时等等。</w:t>
            </w:r>
          </w:p>
        </w:tc>
      </w:tr>
      <w:tr w:rsidR="00791FF7">
        <w:tblPrEx>
          <w:tblCellMar>
            <w:top w:w="0" w:type="dxa"/>
            <w:bottom w:w="0" w:type="dxa"/>
          </w:tblCellMar>
        </w:tblPrEx>
        <w:trPr>
          <w:trHeight w:val="624"/>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5.2</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工作量报表</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维修工人单位时间内工作量统计报表</w:t>
            </w:r>
          </w:p>
        </w:tc>
      </w:tr>
      <w:tr w:rsidR="00791FF7">
        <w:tblPrEx>
          <w:tblCellMar>
            <w:top w:w="0" w:type="dxa"/>
            <w:bottom w:w="0" w:type="dxa"/>
          </w:tblCellMar>
        </w:tblPrEx>
        <w:trPr>
          <w:trHeight w:val="624"/>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5.3</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维修用料查询</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报修人可通过系统查询对应维修工单的维修用料情况，包括耗材、配件使用明细，成本等。</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12"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5.4</w:t>
            </w:r>
          </w:p>
        </w:tc>
        <w:tc>
          <w:tcPr>
            <w:tcW w:w="1943" w:type="dxa"/>
            <w:tcBorders>
              <w:top w:val="single" w:sz="6" w:space="0" w:color="000000"/>
              <w:left w:val="single" w:sz="6" w:space="0" w:color="000000"/>
              <w:bottom w:val="single" w:sz="12"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仓库报表</w:t>
            </w:r>
          </w:p>
        </w:tc>
        <w:tc>
          <w:tcPr>
            <w:tcW w:w="5987" w:type="dxa"/>
            <w:tcBorders>
              <w:top w:val="single" w:sz="6" w:space="0" w:color="000000"/>
              <w:left w:val="single" w:sz="6" w:space="0" w:color="000000"/>
              <w:bottom w:val="single" w:sz="12"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系统提供仓库的多种报表，库存报表、物料出库表、物料入库表、物料盘点报表、科室耗材统计报表等。</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12" w:space="0" w:color="000000"/>
              <w:right w:val="single" w:sz="6" w:space="0" w:color="000000"/>
            </w:tcBorders>
            <w:shd w:val="clear" w:color="auto" w:fill="92D050"/>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6</w:t>
            </w:r>
          </w:p>
        </w:tc>
        <w:tc>
          <w:tcPr>
            <w:tcW w:w="1943" w:type="dxa"/>
            <w:tcBorders>
              <w:top w:val="single" w:sz="6" w:space="0" w:color="000000"/>
              <w:left w:val="single" w:sz="6" w:space="0" w:color="000000"/>
              <w:bottom w:val="single" w:sz="12" w:space="0" w:color="000000"/>
              <w:right w:val="single" w:sz="6" w:space="0" w:color="000000"/>
            </w:tcBorders>
            <w:shd w:val="clear" w:color="auto" w:fill="92D050"/>
            <w:vAlign w:val="center"/>
          </w:tcPr>
          <w:p w:rsidR="00791FF7" w:rsidRDefault="00586A71">
            <w:pPr>
              <w:spacing w:line="300" w:lineRule="auto"/>
              <w:jc w:val="center"/>
              <w:rPr>
                <w:rStyle w:val="NormalCharacter"/>
                <w:rFonts w:ascii="FangSong" w:eastAsia="FangSong" w:hAnsi="FangSong"/>
                <w:b/>
                <w:sz w:val="24"/>
                <w:szCs w:val="24"/>
              </w:rPr>
            </w:pPr>
            <w:r>
              <w:rPr>
                <w:rStyle w:val="NormalCharacter"/>
                <w:rFonts w:ascii="FangSong" w:eastAsia="FangSong" w:hAnsi="FangSong"/>
                <w:b/>
                <w:sz w:val="24"/>
                <w:szCs w:val="24"/>
              </w:rPr>
              <w:t>大屏管理</w:t>
            </w:r>
          </w:p>
        </w:tc>
        <w:tc>
          <w:tcPr>
            <w:tcW w:w="5987" w:type="dxa"/>
            <w:tcBorders>
              <w:top w:val="single" w:sz="6" w:space="0" w:color="000000"/>
              <w:left w:val="single" w:sz="6" w:space="0" w:color="000000"/>
              <w:bottom w:val="single" w:sz="12" w:space="0" w:color="000000"/>
              <w:right w:val="single" w:sz="12" w:space="0" w:color="000000"/>
            </w:tcBorders>
            <w:shd w:val="clear" w:color="auto" w:fill="92D050"/>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即时显示后勤业务运行数据、报修、维修、工单、工人排名，重点科室维修监控等数据实时动态展示。</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12"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6.1</w:t>
            </w:r>
          </w:p>
        </w:tc>
        <w:tc>
          <w:tcPr>
            <w:tcW w:w="1943" w:type="dxa"/>
            <w:tcBorders>
              <w:top w:val="single" w:sz="6" w:space="0" w:color="000000"/>
              <w:left w:val="single" w:sz="6" w:space="0" w:color="000000"/>
              <w:bottom w:val="single" w:sz="12"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维修大屏</w:t>
            </w:r>
          </w:p>
        </w:tc>
        <w:tc>
          <w:tcPr>
            <w:tcW w:w="5987" w:type="dxa"/>
            <w:tcBorders>
              <w:top w:val="single" w:sz="6" w:space="0" w:color="000000"/>
              <w:left w:val="single" w:sz="6" w:space="0" w:color="000000"/>
              <w:bottom w:val="single" w:sz="12"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后勤运行数据、报修、维修、工单、工人排名，重点科室维修监控等数据实时动态展示。各项数据灵活展示。</w:t>
            </w:r>
          </w:p>
        </w:tc>
      </w:tr>
      <w:tr w:rsidR="00791FF7">
        <w:tblPrEx>
          <w:tblCellMar>
            <w:top w:w="0" w:type="dxa"/>
            <w:bottom w:w="0" w:type="dxa"/>
          </w:tblCellMar>
        </w:tblPrEx>
        <w:trPr>
          <w:trHeight w:val="936"/>
        </w:trPr>
        <w:tc>
          <w:tcPr>
            <w:tcW w:w="1001" w:type="dxa"/>
            <w:tcBorders>
              <w:top w:val="single" w:sz="6" w:space="0" w:color="000000"/>
              <w:left w:val="single" w:sz="12"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cs="宋体"/>
                <w:b/>
                <w:bCs/>
                <w:sz w:val="24"/>
                <w:szCs w:val="24"/>
              </w:rPr>
            </w:pPr>
            <w:r>
              <w:rPr>
                <w:rStyle w:val="NormalCharacter"/>
                <w:rFonts w:ascii="FangSong" w:eastAsia="FangSong" w:hAnsi="FangSong" w:cs="宋体"/>
                <w:b/>
                <w:bCs/>
                <w:sz w:val="24"/>
                <w:szCs w:val="24"/>
              </w:rPr>
              <w:t>6.2</w:t>
            </w:r>
          </w:p>
        </w:tc>
        <w:tc>
          <w:tcPr>
            <w:tcW w:w="1943" w:type="dxa"/>
            <w:tcBorders>
              <w:top w:val="single" w:sz="6" w:space="0" w:color="000000"/>
              <w:left w:val="single" w:sz="6" w:space="0" w:color="000000"/>
              <w:bottom w:val="single" w:sz="6" w:space="0" w:color="000000"/>
              <w:right w:val="single" w:sz="6" w:space="0" w:color="000000"/>
            </w:tcBorders>
            <w:vAlign w:val="center"/>
          </w:tcPr>
          <w:p w:rsidR="00791FF7" w:rsidRDefault="00586A71">
            <w:pPr>
              <w:spacing w:line="300" w:lineRule="auto"/>
              <w:jc w:val="center"/>
              <w:rPr>
                <w:rStyle w:val="NormalCharacter"/>
                <w:rFonts w:ascii="FangSong" w:eastAsia="FangSong" w:hAnsi="FangSong"/>
                <w:sz w:val="24"/>
                <w:szCs w:val="24"/>
              </w:rPr>
            </w:pPr>
            <w:r>
              <w:rPr>
                <w:rStyle w:val="NormalCharacter"/>
                <w:rFonts w:ascii="FangSong" w:eastAsia="FangSong" w:hAnsi="FangSong"/>
                <w:sz w:val="24"/>
                <w:szCs w:val="24"/>
              </w:rPr>
              <w:t>工人大屏</w:t>
            </w:r>
          </w:p>
        </w:tc>
        <w:tc>
          <w:tcPr>
            <w:tcW w:w="5987" w:type="dxa"/>
            <w:tcBorders>
              <w:top w:val="single" w:sz="6" w:space="0" w:color="000000"/>
              <w:left w:val="single" w:sz="6" w:space="0" w:color="000000"/>
              <w:bottom w:val="single" w:sz="6" w:space="0" w:color="000000"/>
              <w:right w:val="single" w:sz="12" w:space="0" w:color="000000"/>
            </w:tcBorders>
            <w:vAlign w:val="center"/>
          </w:tcPr>
          <w:p w:rsidR="00791FF7" w:rsidRDefault="00586A71">
            <w:pPr>
              <w:spacing w:line="300" w:lineRule="auto"/>
              <w:rPr>
                <w:rStyle w:val="NormalCharacter"/>
                <w:rFonts w:ascii="楷体" w:eastAsia="楷体" w:hAnsi="楷体"/>
                <w:sz w:val="24"/>
                <w:szCs w:val="24"/>
              </w:rPr>
            </w:pPr>
            <w:r>
              <w:rPr>
                <w:rStyle w:val="NormalCharacter"/>
                <w:rFonts w:ascii="楷体" w:eastAsia="楷体" w:hAnsi="楷体"/>
                <w:sz w:val="24"/>
                <w:szCs w:val="24"/>
              </w:rPr>
              <w:t>后勤各班组工人工作量情况实时显示、动态展示</w:t>
            </w:r>
          </w:p>
        </w:tc>
      </w:tr>
    </w:tbl>
    <w:p w:rsidR="00791FF7" w:rsidRDefault="000E4A1F">
      <w:pPr>
        <w:rPr>
          <w:rStyle w:val="NormalCharacter"/>
          <w:rFonts w:ascii="楷体_GB2312" w:eastAsia="楷体_GB2312" w:hAnsi="楷体_GB2312" w:cs="楷体_GB2312"/>
          <w:b/>
          <w:bCs/>
          <w:sz w:val="28"/>
          <w:szCs w:val="32"/>
        </w:rPr>
      </w:pPr>
      <w:r>
        <w:rPr>
          <w:rStyle w:val="NormalCharacter"/>
          <w:rFonts w:ascii="楷体_GB2312" w:eastAsia="楷体_GB2312" w:hAnsi="楷体_GB2312" w:cs="楷体_GB2312"/>
          <w:b/>
          <w:bCs/>
          <w:sz w:val="28"/>
          <w:szCs w:val="32"/>
        </w:rPr>
        <w:t>2、硬件部分</w:t>
      </w: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FFFF"/>
      </w:tblPr>
      <w:tblGrid>
        <w:gridCol w:w="851"/>
        <w:gridCol w:w="1418"/>
        <w:gridCol w:w="4961"/>
        <w:gridCol w:w="1417"/>
      </w:tblGrid>
      <w:tr w:rsidR="00791FF7">
        <w:tblPrEx>
          <w:tblCellMar>
            <w:top w:w="0" w:type="dxa"/>
            <w:bottom w:w="0" w:type="dxa"/>
          </w:tblCellMar>
        </w:tblPrEx>
        <w:trPr>
          <w:trHeight w:val="779"/>
        </w:trPr>
        <w:tc>
          <w:tcPr>
            <w:tcW w:w="8647" w:type="dxa"/>
            <w:gridSpan w:val="4"/>
            <w:tcBorders>
              <w:top w:val="single" w:sz="4" w:space="0" w:color="000000"/>
              <w:left w:val="single" w:sz="4" w:space="0" w:color="000000"/>
              <w:bottom w:val="single" w:sz="4" w:space="0" w:color="000000"/>
              <w:right w:val="single" w:sz="4" w:space="0" w:color="000000"/>
            </w:tcBorders>
            <w:shd w:val="clear" w:color="auto" w:fill="8DB3E2"/>
          </w:tcPr>
          <w:p w:rsidR="00791FF7" w:rsidRDefault="000E4A1F">
            <w:pPr>
              <w:spacing w:before="156" w:after="156"/>
              <w:ind w:firstLine="560"/>
              <w:jc w:val="center"/>
              <w:rPr>
                <w:rStyle w:val="NormalCharacter"/>
                <w:rFonts w:ascii="微软雅黑" w:eastAsia="微软雅黑" w:hAnsi="微软雅黑"/>
                <w:b/>
                <w:sz w:val="24"/>
                <w:szCs w:val="28"/>
              </w:rPr>
            </w:pPr>
            <w:r>
              <w:rPr>
                <w:rStyle w:val="NormalCharacter"/>
                <w:rFonts w:ascii="微软雅黑" w:eastAsia="微软雅黑" w:hAnsi="微软雅黑"/>
                <w:b/>
                <w:sz w:val="28"/>
                <w:szCs w:val="28"/>
              </w:rPr>
              <w:t>硬件部分参数</w:t>
            </w:r>
          </w:p>
        </w:tc>
      </w:tr>
      <w:tr w:rsidR="00791FF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序号</w:t>
            </w:r>
          </w:p>
        </w:tc>
        <w:tc>
          <w:tcPr>
            <w:tcW w:w="1418"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名称</w:t>
            </w:r>
          </w:p>
        </w:tc>
        <w:tc>
          <w:tcPr>
            <w:tcW w:w="4961"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参数</w:t>
            </w:r>
          </w:p>
        </w:tc>
        <w:tc>
          <w:tcPr>
            <w:tcW w:w="1417"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数量</w:t>
            </w:r>
          </w:p>
        </w:tc>
      </w:tr>
      <w:tr w:rsidR="00791FF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lastRenderedPageBreak/>
              <w:t>1</w:t>
            </w:r>
          </w:p>
        </w:tc>
        <w:tc>
          <w:tcPr>
            <w:tcW w:w="1418"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弹屏盒子</w:t>
            </w:r>
          </w:p>
        </w:tc>
        <w:tc>
          <w:tcPr>
            <w:tcW w:w="4961" w:type="dxa"/>
            <w:tcBorders>
              <w:top w:val="single" w:sz="4" w:space="0" w:color="000000"/>
              <w:left w:val="single" w:sz="4" w:space="0" w:color="000000"/>
              <w:bottom w:val="single" w:sz="4" w:space="0" w:color="000000"/>
              <w:right w:val="single" w:sz="4" w:space="0" w:color="000000"/>
            </w:tcBorders>
          </w:tcPr>
          <w:p w:rsidR="00791FF7" w:rsidRDefault="000E4A1F">
            <w:pPr>
              <w:jc w:val="left"/>
              <w:rPr>
                <w:rStyle w:val="NormalCharacter"/>
                <w:rFonts w:ascii="楷体_GB2312" w:eastAsia="楷体_GB2312" w:hAnsi="楷体_GB2312"/>
                <w:sz w:val="24"/>
                <w:szCs w:val="28"/>
              </w:rPr>
            </w:pPr>
            <w:r>
              <w:rPr>
                <w:rStyle w:val="NormalCharacter"/>
                <w:rFonts w:ascii="楷体_GB2312" w:eastAsia="楷体_GB2312" w:hAnsi="楷体_GB2312"/>
                <w:sz w:val="24"/>
                <w:szCs w:val="28"/>
              </w:rPr>
              <w:t>数据接口：USB</w:t>
            </w:r>
            <w:r>
              <w:rPr>
                <w:rStyle w:val="NormalCharacter"/>
                <w:rFonts w:ascii="楷体_GB2312" w:eastAsia="楷体_GB2312" w:hAnsi="楷体_GB2312"/>
                <w:sz w:val="24"/>
                <w:szCs w:val="28"/>
              </w:rPr>
              <w:br/>
              <w:t>电话接口：RJ11</w:t>
            </w:r>
            <w:r>
              <w:rPr>
                <w:rStyle w:val="NormalCharacter"/>
                <w:rFonts w:ascii="楷体_GB2312" w:eastAsia="楷体_GB2312" w:hAnsi="楷体_GB2312"/>
                <w:sz w:val="24"/>
                <w:szCs w:val="28"/>
              </w:rPr>
              <w:br/>
              <w:t>通道数量：1通道</w:t>
            </w:r>
            <w:r>
              <w:rPr>
                <w:rStyle w:val="NormalCharacter"/>
                <w:rFonts w:ascii="楷体_GB2312" w:eastAsia="楷体_GB2312" w:hAnsi="楷体_GB2312"/>
                <w:sz w:val="24"/>
                <w:szCs w:val="28"/>
              </w:rPr>
              <w:br/>
              <w:t>采集速率：32KBPS</w:t>
            </w:r>
            <w:r>
              <w:rPr>
                <w:rStyle w:val="NormalCharacter"/>
                <w:rFonts w:ascii="楷体_GB2312" w:eastAsia="楷体_GB2312" w:hAnsi="楷体_GB2312"/>
                <w:sz w:val="24"/>
                <w:szCs w:val="28"/>
              </w:rPr>
              <w:br/>
              <w:t>频率响应：300-3400Hz</w:t>
            </w:r>
            <w:r>
              <w:rPr>
                <w:rStyle w:val="NormalCharacter"/>
                <w:rFonts w:ascii="楷体_GB2312" w:eastAsia="楷体_GB2312" w:hAnsi="楷体_GB2312"/>
                <w:sz w:val="24"/>
                <w:szCs w:val="28"/>
              </w:rPr>
              <w:br/>
              <w:t>工作温度：1℃-50℃</w:t>
            </w:r>
          </w:p>
          <w:p w:rsidR="00791FF7" w:rsidRDefault="000E4A1F">
            <w:pPr>
              <w:jc w:val="left"/>
              <w:rPr>
                <w:rStyle w:val="NormalCharacter"/>
                <w:rFonts w:ascii="楷体_GB2312" w:eastAsia="楷体_GB2312" w:hAnsi="楷体_GB2312"/>
                <w:sz w:val="24"/>
                <w:szCs w:val="28"/>
              </w:rPr>
            </w:pPr>
            <w:r>
              <w:rPr>
                <w:rStyle w:val="NormalCharacter"/>
                <w:rFonts w:ascii="楷体_GB2312" w:eastAsia="楷体_GB2312" w:hAnsi="楷体_GB2312"/>
                <w:sz w:val="24"/>
                <w:szCs w:val="28"/>
              </w:rPr>
              <w:t>支持来电识别、电话弹屏</w:t>
            </w:r>
          </w:p>
        </w:tc>
        <w:tc>
          <w:tcPr>
            <w:tcW w:w="1417"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1</w:t>
            </w:r>
          </w:p>
        </w:tc>
      </w:tr>
      <w:tr w:rsidR="00791FF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2</w:t>
            </w:r>
          </w:p>
        </w:tc>
        <w:tc>
          <w:tcPr>
            <w:tcW w:w="1418"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工控机</w:t>
            </w:r>
          </w:p>
        </w:tc>
        <w:tc>
          <w:tcPr>
            <w:tcW w:w="4961" w:type="dxa"/>
            <w:tcBorders>
              <w:top w:val="single" w:sz="4" w:space="0" w:color="000000"/>
              <w:left w:val="single" w:sz="4" w:space="0" w:color="000000"/>
              <w:bottom w:val="single" w:sz="4" w:space="0" w:color="000000"/>
              <w:right w:val="single" w:sz="4" w:space="0" w:color="000000"/>
            </w:tcBorders>
          </w:tcPr>
          <w:p w:rsidR="00791FF7" w:rsidRDefault="000E4A1F">
            <w:pPr>
              <w:jc w:val="left"/>
              <w:rPr>
                <w:rStyle w:val="NormalCharacter"/>
                <w:rFonts w:ascii="楷体_GB2312" w:eastAsia="楷体_GB2312" w:hAnsi="楷体_GB2312"/>
                <w:sz w:val="24"/>
                <w:szCs w:val="28"/>
              </w:rPr>
            </w:pPr>
            <w:r>
              <w:rPr>
                <w:rStyle w:val="NormalCharacter"/>
                <w:rFonts w:ascii="楷体_GB2312" w:eastAsia="楷体_GB2312" w:hAnsi="楷体_GB2312"/>
                <w:sz w:val="24"/>
                <w:szCs w:val="28"/>
              </w:rPr>
              <w:t>处理器：Intel双核1.5G以上</w:t>
            </w:r>
            <w:r>
              <w:rPr>
                <w:rStyle w:val="NormalCharacter"/>
                <w:rFonts w:ascii="楷体_GB2312" w:eastAsia="楷体_GB2312" w:hAnsi="楷体_GB2312"/>
                <w:sz w:val="24"/>
                <w:szCs w:val="28"/>
              </w:rPr>
              <w:br/>
              <w:t>内存：2GB DDR3</w:t>
            </w:r>
            <w:r>
              <w:rPr>
                <w:rStyle w:val="NormalCharacter"/>
                <w:rFonts w:ascii="楷体_GB2312" w:eastAsia="楷体_GB2312" w:hAnsi="楷体_GB2312"/>
                <w:sz w:val="24"/>
                <w:szCs w:val="28"/>
              </w:rPr>
              <w:br/>
              <w:t>硬盘：32GB 固态硬盘</w:t>
            </w:r>
            <w:r>
              <w:rPr>
                <w:rStyle w:val="NormalCharacter"/>
                <w:rFonts w:ascii="楷体_GB2312" w:eastAsia="楷体_GB2312" w:hAnsi="楷体_GB2312"/>
                <w:sz w:val="24"/>
                <w:szCs w:val="28"/>
              </w:rPr>
              <w:br/>
              <w:t>操作系统：支持WIN7 WIN8 Linux</w:t>
            </w:r>
          </w:p>
        </w:tc>
        <w:tc>
          <w:tcPr>
            <w:tcW w:w="1417"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1</w:t>
            </w:r>
          </w:p>
        </w:tc>
      </w:tr>
      <w:tr w:rsidR="00791FF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3</w:t>
            </w:r>
          </w:p>
        </w:tc>
        <w:tc>
          <w:tcPr>
            <w:tcW w:w="1418"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电子屏</w:t>
            </w:r>
          </w:p>
        </w:tc>
        <w:tc>
          <w:tcPr>
            <w:tcW w:w="4961" w:type="dxa"/>
            <w:tcBorders>
              <w:top w:val="single" w:sz="4" w:space="0" w:color="000000"/>
              <w:left w:val="single" w:sz="4" w:space="0" w:color="000000"/>
              <w:bottom w:val="single" w:sz="4" w:space="0" w:color="000000"/>
              <w:right w:val="single" w:sz="4" w:space="0" w:color="000000"/>
            </w:tcBorders>
          </w:tcPr>
          <w:p w:rsidR="00791FF7" w:rsidRDefault="000E4A1F">
            <w:pPr>
              <w:jc w:val="left"/>
              <w:rPr>
                <w:rStyle w:val="NormalCharacter"/>
                <w:rFonts w:ascii="楷体_GB2312" w:eastAsia="楷体_GB2312" w:hAnsi="楷体_GB2312"/>
                <w:sz w:val="24"/>
                <w:szCs w:val="28"/>
              </w:rPr>
            </w:pPr>
            <w:r>
              <w:rPr>
                <w:rStyle w:val="NormalCharacter"/>
                <w:rFonts w:ascii="楷体_GB2312" w:eastAsia="楷体_GB2312" w:hAnsi="楷体_GB2312"/>
                <w:sz w:val="24"/>
                <w:szCs w:val="28"/>
              </w:rPr>
              <w:t>尺寸：55英寸或以上超高清电视机</w:t>
            </w:r>
            <w:r>
              <w:rPr>
                <w:rStyle w:val="NormalCharacter"/>
                <w:rFonts w:ascii="楷体_GB2312" w:eastAsia="楷体_GB2312" w:hAnsi="楷体_GB2312"/>
                <w:sz w:val="24"/>
                <w:szCs w:val="28"/>
              </w:rPr>
              <w:br/>
              <w:t>背光源：LED</w:t>
            </w:r>
            <w:r>
              <w:rPr>
                <w:rStyle w:val="NormalCharacter"/>
                <w:rFonts w:ascii="楷体_GB2312" w:eastAsia="楷体_GB2312" w:hAnsi="楷体_GB2312"/>
                <w:sz w:val="24"/>
                <w:szCs w:val="28"/>
              </w:rPr>
              <w:br/>
              <w:t>分辨率：3480*2160</w:t>
            </w:r>
            <w:r>
              <w:rPr>
                <w:rStyle w:val="NormalCharacter"/>
                <w:rFonts w:ascii="楷体_GB2312" w:eastAsia="楷体_GB2312" w:hAnsi="楷体_GB2312"/>
                <w:sz w:val="24"/>
                <w:szCs w:val="28"/>
              </w:rPr>
              <w:br/>
              <w:t>运行内存：1G或以上</w:t>
            </w:r>
            <w:r>
              <w:rPr>
                <w:rStyle w:val="NormalCharacter"/>
                <w:rFonts w:ascii="楷体_GB2312" w:eastAsia="楷体_GB2312" w:hAnsi="楷体_GB2312"/>
                <w:sz w:val="24"/>
                <w:szCs w:val="28"/>
              </w:rPr>
              <w:br/>
              <w:t>存储内存：4G或以上</w:t>
            </w:r>
            <w:r>
              <w:rPr>
                <w:rStyle w:val="NormalCharacter"/>
                <w:rFonts w:ascii="楷体_GB2312" w:eastAsia="楷体_GB2312" w:hAnsi="楷体_GB2312"/>
                <w:sz w:val="24"/>
                <w:szCs w:val="28"/>
              </w:rPr>
              <w:br/>
              <w:t>处理器：2核CPU</w:t>
            </w:r>
          </w:p>
        </w:tc>
        <w:tc>
          <w:tcPr>
            <w:tcW w:w="1417" w:type="dxa"/>
            <w:tcBorders>
              <w:top w:val="single" w:sz="4" w:space="0" w:color="000000"/>
              <w:left w:val="single" w:sz="4" w:space="0" w:color="000000"/>
              <w:bottom w:val="single" w:sz="4" w:space="0" w:color="000000"/>
              <w:right w:val="single" w:sz="4" w:space="0" w:color="000000"/>
            </w:tcBorders>
          </w:tcPr>
          <w:p w:rsidR="00791FF7" w:rsidRDefault="000E4A1F">
            <w:pPr>
              <w:jc w:val="center"/>
              <w:rPr>
                <w:rStyle w:val="NormalCharacter"/>
                <w:rFonts w:ascii="微软雅黑" w:eastAsia="微软雅黑" w:hAnsi="微软雅黑"/>
                <w:sz w:val="24"/>
                <w:szCs w:val="28"/>
              </w:rPr>
            </w:pPr>
            <w:r>
              <w:rPr>
                <w:rStyle w:val="NormalCharacter"/>
                <w:rFonts w:ascii="微软雅黑" w:eastAsia="微软雅黑" w:hAnsi="微软雅黑"/>
                <w:sz w:val="24"/>
                <w:szCs w:val="28"/>
              </w:rPr>
              <w:t>1</w:t>
            </w:r>
          </w:p>
        </w:tc>
      </w:tr>
    </w:tbl>
    <w:p w:rsidR="00791FF7" w:rsidRDefault="00586A71" w:rsidP="00586A71">
      <w:pPr>
        <w:rPr>
          <w:rStyle w:val="NormalCharacter"/>
          <w:rFonts w:ascii="楷体_GB2312" w:eastAsia="楷体_GB2312" w:hAnsi="楷体_GB2312" w:cs="楷体_GB2312"/>
          <w:b/>
          <w:bCs/>
          <w:sz w:val="28"/>
          <w:szCs w:val="32"/>
        </w:rPr>
      </w:pPr>
      <w:r>
        <w:rPr>
          <w:rStyle w:val="NormalCharacter"/>
          <w:rFonts w:ascii="楷体_GB2312" w:eastAsia="楷体_GB2312" w:hAnsi="楷体_GB2312" w:cs="楷体_GB2312"/>
          <w:b/>
          <w:bCs/>
          <w:sz w:val="28"/>
          <w:szCs w:val="32"/>
        </w:rPr>
        <w:t>3、</w:t>
      </w:r>
      <w:r w:rsidRPr="00586A71">
        <w:rPr>
          <w:rStyle w:val="NormalCharacter"/>
          <w:rFonts w:ascii="楷体_GB2312" w:eastAsia="楷体_GB2312" w:hAnsi="楷体_GB2312" w:cs="楷体_GB2312"/>
          <w:b/>
          <w:bCs/>
          <w:sz w:val="28"/>
          <w:szCs w:val="32"/>
        </w:rPr>
        <w:t>项目预算</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134"/>
        <w:gridCol w:w="4536"/>
        <w:gridCol w:w="2035"/>
      </w:tblGrid>
      <w:tr w:rsidR="00791FF7">
        <w:tblPrEx>
          <w:tblCellMar>
            <w:top w:w="0" w:type="dxa"/>
            <w:bottom w:w="0" w:type="dxa"/>
          </w:tblCellMar>
        </w:tblPrEx>
        <w:tc>
          <w:tcPr>
            <w:tcW w:w="8522" w:type="dxa"/>
            <w:gridSpan w:val="4"/>
            <w:tcBorders>
              <w:top w:val="single" w:sz="4" w:space="0" w:color="000000"/>
              <w:left w:val="single" w:sz="4" w:space="0" w:color="000000"/>
              <w:bottom w:val="single" w:sz="4" w:space="0" w:color="000000"/>
              <w:right w:val="single" w:sz="4" w:space="0" w:color="000000"/>
            </w:tcBorders>
          </w:tcPr>
          <w:p w:rsidR="00791FF7" w:rsidRPr="00E83226" w:rsidRDefault="00586A71" w:rsidP="00E83226">
            <w:pPr>
              <w:spacing w:line="480" w:lineRule="auto"/>
              <w:jc w:val="center"/>
              <w:rPr>
                <w:rStyle w:val="NormalCharacter"/>
                <w:rFonts w:ascii="楷体" w:eastAsia="楷体" w:hAnsi="楷体"/>
                <w:b/>
                <w:sz w:val="24"/>
              </w:rPr>
            </w:pPr>
            <w:r w:rsidRPr="00E83226">
              <w:rPr>
                <w:rStyle w:val="NormalCharacter"/>
                <w:rFonts w:ascii="楷体" w:eastAsia="楷体" w:hAnsi="楷体"/>
                <w:b/>
                <w:sz w:val="40"/>
              </w:rPr>
              <w:t>项目整体预算</w:t>
            </w:r>
          </w:p>
        </w:tc>
      </w:tr>
      <w:tr w:rsidR="00791FF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vAlign w:val="center"/>
          </w:tcPr>
          <w:p w:rsidR="00791FF7" w:rsidRDefault="00586A71" w:rsidP="00661D80">
            <w:pPr>
              <w:spacing w:line="480" w:lineRule="auto"/>
              <w:jc w:val="center"/>
              <w:rPr>
                <w:rStyle w:val="NormalCharacter"/>
                <w:rFonts w:ascii="微软雅黑" w:eastAsia="微软雅黑" w:hAnsi="微软雅黑"/>
                <w:b/>
                <w:sz w:val="28"/>
                <w:szCs w:val="28"/>
              </w:rPr>
            </w:pPr>
            <w:r w:rsidRPr="00661D80">
              <w:rPr>
                <w:rStyle w:val="NormalCharacter"/>
                <w:rFonts w:ascii="微软雅黑" w:eastAsia="微软雅黑" w:hAnsi="微软雅黑"/>
                <w:b/>
                <w:sz w:val="28"/>
                <w:szCs w:val="28"/>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791FF7" w:rsidRDefault="00586A71" w:rsidP="00661D80">
            <w:pPr>
              <w:spacing w:line="480" w:lineRule="auto"/>
              <w:jc w:val="center"/>
              <w:rPr>
                <w:rStyle w:val="NormalCharacter"/>
                <w:rFonts w:ascii="微软雅黑" w:eastAsia="微软雅黑" w:hAnsi="微软雅黑"/>
                <w:b/>
                <w:sz w:val="28"/>
                <w:szCs w:val="28"/>
              </w:rPr>
            </w:pPr>
            <w:r w:rsidRPr="00661D80">
              <w:rPr>
                <w:rStyle w:val="NormalCharacter"/>
                <w:rFonts w:ascii="微软雅黑" w:eastAsia="微软雅黑" w:hAnsi="微软雅黑"/>
                <w:b/>
                <w:sz w:val="28"/>
                <w:szCs w:val="28"/>
              </w:rPr>
              <w:t>项目</w:t>
            </w:r>
          </w:p>
        </w:tc>
        <w:tc>
          <w:tcPr>
            <w:tcW w:w="4536" w:type="dxa"/>
            <w:tcBorders>
              <w:top w:val="single" w:sz="4" w:space="0" w:color="000000"/>
              <w:left w:val="single" w:sz="4" w:space="0" w:color="000000"/>
              <w:bottom w:val="single" w:sz="4" w:space="0" w:color="000000"/>
              <w:right w:val="single" w:sz="4" w:space="0" w:color="000000"/>
            </w:tcBorders>
            <w:vAlign w:val="center"/>
          </w:tcPr>
          <w:p w:rsidR="00791FF7" w:rsidRDefault="00586A71" w:rsidP="00661D80">
            <w:pPr>
              <w:spacing w:line="480" w:lineRule="auto"/>
              <w:jc w:val="center"/>
              <w:rPr>
                <w:rStyle w:val="NormalCharacter"/>
                <w:rFonts w:ascii="微软雅黑" w:eastAsia="微软雅黑" w:hAnsi="微软雅黑"/>
                <w:b/>
                <w:sz w:val="28"/>
                <w:szCs w:val="28"/>
              </w:rPr>
            </w:pPr>
            <w:r w:rsidRPr="00661D80">
              <w:rPr>
                <w:rStyle w:val="NormalCharacter"/>
                <w:rFonts w:ascii="微软雅黑" w:eastAsia="微软雅黑" w:hAnsi="微软雅黑"/>
                <w:b/>
                <w:sz w:val="28"/>
                <w:szCs w:val="28"/>
              </w:rPr>
              <w:t>模块</w:t>
            </w:r>
          </w:p>
        </w:tc>
        <w:tc>
          <w:tcPr>
            <w:tcW w:w="2035" w:type="dxa"/>
            <w:tcBorders>
              <w:top w:val="single" w:sz="4" w:space="0" w:color="000000"/>
              <w:left w:val="single" w:sz="4" w:space="0" w:color="000000"/>
              <w:bottom w:val="single" w:sz="4" w:space="0" w:color="000000"/>
              <w:right w:val="single" w:sz="4" w:space="0" w:color="000000"/>
            </w:tcBorders>
            <w:vAlign w:val="center"/>
          </w:tcPr>
          <w:p w:rsidR="00791FF7" w:rsidRDefault="00586A71" w:rsidP="00661D80">
            <w:pPr>
              <w:spacing w:line="480" w:lineRule="auto"/>
              <w:jc w:val="center"/>
              <w:rPr>
                <w:rStyle w:val="NormalCharacter"/>
                <w:rFonts w:ascii="微软雅黑" w:eastAsia="微软雅黑" w:hAnsi="微软雅黑"/>
                <w:b/>
                <w:sz w:val="28"/>
                <w:szCs w:val="28"/>
              </w:rPr>
            </w:pPr>
            <w:r w:rsidRPr="00661D80">
              <w:rPr>
                <w:rStyle w:val="NormalCharacter"/>
                <w:rFonts w:ascii="微软雅黑" w:eastAsia="微软雅黑" w:hAnsi="微软雅黑"/>
                <w:b/>
                <w:sz w:val="28"/>
                <w:szCs w:val="28"/>
              </w:rPr>
              <w:t>价格</w:t>
            </w:r>
          </w:p>
        </w:tc>
      </w:tr>
      <w:tr w:rsidR="00791FF7" w:rsidTr="00E83226">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vAlign w:val="center"/>
          </w:tcPr>
          <w:p w:rsidR="00791FF7" w:rsidRDefault="00586A71" w:rsidP="00E83226">
            <w:pPr>
              <w:spacing w:line="480" w:lineRule="auto"/>
              <w:jc w:val="center"/>
              <w:rPr>
                <w:rStyle w:val="NormalCharacter"/>
                <w:rFonts w:ascii="微软雅黑" w:eastAsia="微软雅黑" w:hAnsi="微软雅黑"/>
                <w:sz w:val="24"/>
              </w:rPr>
            </w:pPr>
            <w:r w:rsidRPr="00661D80">
              <w:rPr>
                <w:rStyle w:val="NormalCharacter"/>
                <w:rFonts w:ascii="微软雅黑" w:eastAsia="微软雅黑" w:hAnsi="微软雅黑"/>
                <w:sz w:val="24"/>
              </w:rPr>
              <w:t>1</w:t>
            </w:r>
          </w:p>
          <w:p w:rsidR="00791FF7" w:rsidRDefault="00791FF7" w:rsidP="00E83226">
            <w:pPr>
              <w:tabs>
                <w:tab w:val="left" w:pos="525"/>
              </w:tabs>
              <w:jc w:val="center"/>
              <w:rPr>
                <w:rStyle w:val="NormalCharacter"/>
                <w:rFonts w:ascii="微软雅黑" w:eastAsia="微软雅黑" w:hAnsi="微软雅黑"/>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1FF7" w:rsidRDefault="00586A71" w:rsidP="00661D80">
            <w:pPr>
              <w:spacing w:line="480" w:lineRule="auto"/>
              <w:jc w:val="center"/>
              <w:rPr>
                <w:rStyle w:val="NormalCharacter"/>
                <w:rFonts w:ascii="微软雅黑" w:eastAsia="微软雅黑" w:hAnsi="微软雅黑"/>
                <w:sz w:val="24"/>
              </w:rPr>
            </w:pPr>
            <w:r w:rsidRPr="00661D80">
              <w:rPr>
                <w:rStyle w:val="NormalCharacter"/>
                <w:rFonts w:ascii="微软雅黑" w:eastAsia="微软雅黑" w:hAnsi="微软雅黑"/>
                <w:sz w:val="24"/>
              </w:rPr>
              <w:t>软件</w:t>
            </w:r>
          </w:p>
        </w:tc>
        <w:tc>
          <w:tcPr>
            <w:tcW w:w="4536" w:type="dxa"/>
            <w:tcBorders>
              <w:top w:val="single" w:sz="4" w:space="0" w:color="000000"/>
              <w:left w:val="single" w:sz="4" w:space="0" w:color="000000"/>
              <w:bottom w:val="single" w:sz="4" w:space="0" w:color="000000"/>
              <w:right w:val="single" w:sz="4" w:space="0" w:color="000000"/>
            </w:tcBorders>
          </w:tcPr>
          <w:p w:rsidR="00791FF7" w:rsidRDefault="00586A71" w:rsidP="00661D80">
            <w:pPr>
              <w:spacing w:line="480" w:lineRule="auto"/>
              <w:jc w:val="left"/>
              <w:rPr>
                <w:rStyle w:val="NormalCharacter"/>
                <w:rFonts w:ascii="微软雅黑" w:eastAsia="微软雅黑" w:hAnsi="微软雅黑"/>
                <w:sz w:val="24"/>
              </w:rPr>
            </w:pPr>
            <w:r w:rsidRPr="00661D80">
              <w:rPr>
                <w:rStyle w:val="NormalCharacter"/>
                <w:rFonts w:ascii="微软雅黑" w:eastAsia="微软雅黑" w:hAnsi="微软雅黑"/>
                <w:sz w:val="24"/>
              </w:rPr>
              <w:t>1、一站式中心平台 2、维修管理</w:t>
            </w:r>
          </w:p>
          <w:p w:rsidR="00791FF7" w:rsidRDefault="00586A71" w:rsidP="00661D80">
            <w:pPr>
              <w:spacing w:line="480" w:lineRule="auto"/>
              <w:jc w:val="left"/>
              <w:rPr>
                <w:rStyle w:val="NormalCharacter"/>
                <w:rFonts w:ascii="微软雅黑" w:eastAsia="微软雅黑" w:hAnsi="微软雅黑"/>
                <w:sz w:val="24"/>
              </w:rPr>
            </w:pPr>
            <w:r w:rsidRPr="00661D80">
              <w:rPr>
                <w:rStyle w:val="NormalCharacter"/>
                <w:rFonts w:ascii="微软雅黑" w:eastAsia="微软雅黑" w:hAnsi="微软雅黑"/>
                <w:sz w:val="24"/>
              </w:rPr>
              <w:t>3、报修小程序     4、仓库管理</w:t>
            </w:r>
          </w:p>
          <w:p w:rsidR="00791FF7" w:rsidRDefault="00586A71" w:rsidP="00661D80">
            <w:pPr>
              <w:spacing w:line="480" w:lineRule="auto"/>
              <w:jc w:val="left"/>
              <w:rPr>
                <w:rStyle w:val="NormalCharacter"/>
                <w:rFonts w:ascii="微软雅黑" w:eastAsia="微软雅黑" w:hAnsi="微软雅黑"/>
                <w:sz w:val="24"/>
              </w:rPr>
            </w:pPr>
            <w:r w:rsidRPr="00661D80">
              <w:rPr>
                <w:rStyle w:val="NormalCharacter"/>
                <w:rFonts w:ascii="微软雅黑" w:eastAsia="微软雅黑" w:hAnsi="微软雅黑"/>
                <w:sz w:val="24"/>
              </w:rPr>
              <w:t>5、后勤大屏       6、后勤报表</w:t>
            </w:r>
          </w:p>
        </w:tc>
        <w:tc>
          <w:tcPr>
            <w:tcW w:w="2035" w:type="dxa"/>
            <w:tcBorders>
              <w:top w:val="single" w:sz="4" w:space="0" w:color="000000"/>
              <w:left w:val="single" w:sz="4" w:space="0" w:color="000000"/>
              <w:bottom w:val="single" w:sz="4" w:space="0" w:color="000000"/>
              <w:right w:val="single" w:sz="4" w:space="0" w:color="000000"/>
            </w:tcBorders>
            <w:vAlign w:val="center"/>
          </w:tcPr>
          <w:p w:rsidR="00791FF7" w:rsidRDefault="00791FF7" w:rsidP="00661D80">
            <w:pPr>
              <w:spacing w:line="480" w:lineRule="auto"/>
              <w:jc w:val="center"/>
              <w:rPr>
                <w:rStyle w:val="NormalCharacter"/>
                <w:rFonts w:ascii="微软雅黑" w:eastAsia="微软雅黑" w:hAnsi="微软雅黑"/>
                <w:sz w:val="24"/>
              </w:rPr>
            </w:pPr>
          </w:p>
        </w:tc>
      </w:tr>
      <w:tr w:rsidR="00791FF7" w:rsidTr="00E83226">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vAlign w:val="center"/>
          </w:tcPr>
          <w:p w:rsidR="00791FF7" w:rsidRDefault="00586A71" w:rsidP="00E83226">
            <w:pPr>
              <w:spacing w:line="480" w:lineRule="auto"/>
              <w:jc w:val="center"/>
              <w:rPr>
                <w:rStyle w:val="NormalCharacter"/>
                <w:rFonts w:ascii="微软雅黑" w:eastAsia="微软雅黑" w:hAnsi="微软雅黑"/>
                <w:sz w:val="24"/>
              </w:rPr>
            </w:pPr>
            <w:r w:rsidRPr="00661D80">
              <w:rPr>
                <w:rStyle w:val="NormalCharacter"/>
                <w:rFonts w:ascii="微软雅黑" w:eastAsia="微软雅黑" w:hAnsi="微软雅黑"/>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91FF7" w:rsidRDefault="00586A71" w:rsidP="00661D80">
            <w:pPr>
              <w:spacing w:line="480" w:lineRule="auto"/>
              <w:jc w:val="center"/>
              <w:rPr>
                <w:rStyle w:val="NormalCharacter"/>
                <w:rFonts w:ascii="微软雅黑" w:eastAsia="微软雅黑" w:hAnsi="微软雅黑"/>
                <w:sz w:val="24"/>
              </w:rPr>
            </w:pPr>
            <w:r w:rsidRPr="00661D80">
              <w:rPr>
                <w:rStyle w:val="NormalCharacter"/>
                <w:rFonts w:ascii="微软雅黑" w:eastAsia="微软雅黑" w:hAnsi="微软雅黑"/>
                <w:sz w:val="24"/>
              </w:rPr>
              <w:t>硬件</w:t>
            </w:r>
          </w:p>
        </w:tc>
        <w:tc>
          <w:tcPr>
            <w:tcW w:w="4536" w:type="dxa"/>
            <w:tcBorders>
              <w:top w:val="single" w:sz="4" w:space="0" w:color="000000"/>
              <w:left w:val="single" w:sz="4" w:space="0" w:color="000000"/>
              <w:bottom w:val="single" w:sz="4" w:space="0" w:color="000000"/>
              <w:right w:val="single" w:sz="4" w:space="0" w:color="000000"/>
            </w:tcBorders>
          </w:tcPr>
          <w:p w:rsidR="00791FF7" w:rsidRDefault="00586A71" w:rsidP="00661D80">
            <w:pPr>
              <w:spacing w:line="480" w:lineRule="auto"/>
              <w:jc w:val="left"/>
              <w:rPr>
                <w:rStyle w:val="NormalCharacter"/>
                <w:rFonts w:ascii="微软雅黑" w:eastAsia="微软雅黑" w:hAnsi="微软雅黑"/>
                <w:sz w:val="24"/>
              </w:rPr>
            </w:pPr>
            <w:r w:rsidRPr="00661D80">
              <w:rPr>
                <w:rStyle w:val="NormalCharacter"/>
                <w:rFonts w:ascii="微软雅黑" w:eastAsia="微软雅黑" w:hAnsi="微软雅黑"/>
                <w:sz w:val="24"/>
              </w:rPr>
              <w:t>1、电子屏1台</w:t>
            </w:r>
          </w:p>
          <w:p w:rsidR="00791FF7" w:rsidRDefault="00586A71" w:rsidP="00661D80">
            <w:pPr>
              <w:spacing w:line="480" w:lineRule="auto"/>
              <w:jc w:val="left"/>
              <w:rPr>
                <w:rStyle w:val="NormalCharacter"/>
                <w:rFonts w:ascii="微软雅黑" w:eastAsia="微软雅黑" w:hAnsi="微软雅黑"/>
                <w:sz w:val="24"/>
              </w:rPr>
            </w:pPr>
            <w:r w:rsidRPr="00661D80">
              <w:rPr>
                <w:rStyle w:val="NormalCharacter"/>
                <w:rFonts w:ascii="微软雅黑" w:eastAsia="微软雅黑" w:hAnsi="微软雅黑"/>
                <w:sz w:val="24"/>
              </w:rPr>
              <w:t>2、工控机1台</w:t>
            </w:r>
          </w:p>
          <w:p w:rsidR="00791FF7" w:rsidRDefault="00586A71" w:rsidP="00661D80">
            <w:pPr>
              <w:spacing w:line="480" w:lineRule="auto"/>
              <w:jc w:val="left"/>
              <w:rPr>
                <w:rStyle w:val="NormalCharacter"/>
                <w:rFonts w:ascii="微软雅黑" w:eastAsia="微软雅黑" w:hAnsi="微软雅黑"/>
                <w:sz w:val="24"/>
              </w:rPr>
            </w:pPr>
            <w:r w:rsidRPr="00661D80">
              <w:rPr>
                <w:rStyle w:val="NormalCharacter"/>
                <w:rFonts w:ascii="微软雅黑" w:eastAsia="微软雅黑" w:hAnsi="微软雅黑"/>
                <w:sz w:val="24"/>
              </w:rPr>
              <w:t>3、电话弹屏盒子1个</w:t>
            </w:r>
          </w:p>
        </w:tc>
        <w:tc>
          <w:tcPr>
            <w:tcW w:w="2035" w:type="dxa"/>
            <w:tcBorders>
              <w:top w:val="single" w:sz="4" w:space="0" w:color="000000"/>
              <w:left w:val="single" w:sz="4" w:space="0" w:color="000000"/>
              <w:bottom w:val="single" w:sz="4" w:space="0" w:color="000000"/>
              <w:right w:val="single" w:sz="4" w:space="0" w:color="000000"/>
            </w:tcBorders>
            <w:vAlign w:val="center"/>
          </w:tcPr>
          <w:p w:rsidR="00791FF7" w:rsidRDefault="00791FF7" w:rsidP="00661D80">
            <w:pPr>
              <w:spacing w:line="480" w:lineRule="auto"/>
              <w:jc w:val="center"/>
              <w:rPr>
                <w:rStyle w:val="NormalCharacter"/>
                <w:rFonts w:ascii="微软雅黑" w:eastAsia="微软雅黑" w:hAnsi="微软雅黑"/>
                <w:sz w:val="24"/>
              </w:rPr>
            </w:pPr>
          </w:p>
        </w:tc>
      </w:tr>
      <w:tr w:rsidR="00791FF7" w:rsidTr="00E83226">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vAlign w:val="center"/>
          </w:tcPr>
          <w:p w:rsidR="00791FF7" w:rsidRDefault="00586A71" w:rsidP="00E83226">
            <w:pPr>
              <w:spacing w:line="480" w:lineRule="auto"/>
              <w:jc w:val="center"/>
              <w:rPr>
                <w:rStyle w:val="NormalCharacter"/>
                <w:rFonts w:ascii="微软雅黑" w:eastAsia="微软雅黑" w:hAnsi="微软雅黑"/>
                <w:sz w:val="24"/>
              </w:rPr>
            </w:pPr>
            <w:r w:rsidRPr="00661D80">
              <w:rPr>
                <w:rStyle w:val="NormalCharacter"/>
                <w:rFonts w:ascii="微软雅黑" w:eastAsia="微软雅黑" w:hAnsi="微软雅黑"/>
                <w:sz w:val="24"/>
              </w:rPr>
              <w:t>3</w:t>
            </w:r>
          </w:p>
        </w:tc>
        <w:tc>
          <w:tcPr>
            <w:tcW w:w="1134" w:type="dxa"/>
            <w:tcBorders>
              <w:top w:val="single" w:sz="4" w:space="0" w:color="000000"/>
              <w:left w:val="single" w:sz="4" w:space="0" w:color="000000"/>
              <w:bottom w:val="single" w:sz="4" w:space="0" w:color="000000"/>
              <w:right w:val="single" w:sz="4" w:space="0" w:color="000000"/>
            </w:tcBorders>
          </w:tcPr>
          <w:p w:rsidR="00791FF7" w:rsidRDefault="00586A71" w:rsidP="00661D80">
            <w:pPr>
              <w:spacing w:line="480" w:lineRule="auto"/>
              <w:jc w:val="center"/>
              <w:rPr>
                <w:rStyle w:val="NormalCharacter"/>
                <w:rFonts w:ascii="微软雅黑" w:eastAsia="微软雅黑" w:hAnsi="微软雅黑"/>
                <w:sz w:val="24"/>
              </w:rPr>
            </w:pPr>
            <w:r w:rsidRPr="00661D80">
              <w:rPr>
                <w:rStyle w:val="NormalCharacter"/>
                <w:rFonts w:ascii="微软雅黑" w:eastAsia="微软雅黑" w:hAnsi="微软雅黑"/>
                <w:sz w:val="24"/>
              </w:rPr>
              <w:t>总价</w:t>
            </w:r>
          </w:p>
        </w:tc>
        <w:tc>
          <w:tcPr>
            <w:tcW w:w="4536" w:type="dxa"/>
            <w:tcBorders>
              <w:top w:val="single" w:sz="4" w:space="0" w:color="000000"/>
              <w:left w:val="single" w:sz="4" w:space="0" w:color="000000"/>
              <w:bottom w:val="single" w:sz="4" w:space="0" w:color="000000"/>
              <w:right w:val="single" w:sz="4" w:space="0" w:color="000000"/>
            </w:tcBorders>
          </w:tcPr>
          <w:p w:rsidR="00791FF7" w:rsidRDefault="00586A71" w:rsidP="00661D80">
            <w:pPr>
              <w:spacing w:line="480" w:lineRule="auto"/>
              <w:jc w:val="left"/>
              <w:rPr>
                <w:rStyle w:val="NormalCharacter"/>
                <w:rFonts w:ascii="微软雅黑" w:eastAsia="微软雅黑" w:hAnsi="微软雅黑"/>
                <w:sz w:val="24"/>
              </w:rPr>
            </w:pPr>
            <w:r w:rsidRPr="00661D80">
              <w:rPr>
                <w:rStyle w:val="NormalCharacter"/>
                <w:rFonts w:ascii="微软雅黑" w:eastAsia="微软雅黑" w:hAnsi="微软雅黑"/>
                <w:sz w:val="24"/>
              </w:rPr>
              <w:t>含施工费、运费和税费</w:t>
            </w:r>
          </w:p>
        </w:tc>
        <w:tc>
          <w:tcPr>
            <w:tcW w:w="2035" w:type="dxa"/>
            <w:tcBorders>
              <w:top w:val="single" w:sz="4" w:space="0" w:color="000000"/>
              <w:left w:val="single" w:sz="4" w:space="0" w:color="000000"/>
              <w:bottom w:val="single" w:sz="4" w:space="0" w:color="000000"/>
              <w:right w:val="single" w:sz="4" w:space="0" w:color="000000"/>
            </w:tcBorders>
          </w:tcPr>
          <w:p w:rsidR="00791FF7" w:rsidRDefault="00791FF7" w:rsidP="00661D80">
            <w:pPr>
              <w:spacing w:line="480" w:lineRule="auto"/>
              <w:jc w:val="center"/>
              <w:rPr>
                <w:rStyle w:val="NormalCharacter"/>
                <w:rFonts w:ascii="微软雅黑" w:eastAsia="微软雅黑" w:hAnsi="微软雅黑"/>
                <w:sz w:val="24"/>
              </w:rPr>
            </w:pPr>
          </w:p>
        </w:tc>
      </w:tr>
    </w:tbl>
    <w:p w:rsidR="00791FF7" w:rsidRDefault="00791FF7" w:rsidP="00586A71">
      <w:pPr>
        <w:spacing w:line="480" w:lineRule="auto"/>
        <w:jc w:val="left"/>
        <w:rPr>
          <w:rStyle w:val="NormalCharacter"/>
          <w:rFonts w:ascii="楷体" w:eastAsia="楷体" w:hAnsi="楷体"/>
          <w:sz w:val="24"/>
        </w:rPr>
      </w:pPr>
    </w:p>
    <w:sectPr w:rsidR="00791FF7" w:rsidSect="00791FF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A5A" w:rsidRDefault="00E63A5A" w:rsidP="00E83226">
      <w:r>
        <w:separator/>
      </w:r>
    </w:p>
  </w:endnote>
  <w:endnote w:type="continuationSeparator" w:id="1">
    <w:p w:rsidR="00E63A5A" w:rsidRDefault="00E63A5A" w:rsidP="00E832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FangSong">
    <w:altName w:val="微软雅黑"/>
    <w:charset w:val="86"/>
    <w:family w:val="modern"/>
    <w:pitch w:val="fixed"/>
    <w:sig w:usb0="00000000"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A5A" w:rsidRDefault="00E63A5A" w:rsidP="00E83226">
      <w:r>
        <w:separator/>
      </w:r>
    </w:p>
  </w:footnote>
  <w:footnote w:type="continuationSeparator" w:id="1">
    <w:p w:rsidR="00E63A5A" w:rsidRDefault="00E63A5A" w:rsidP="00E83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3099"/>
    <w:multiLevelType w:val="multilevel"/>
    <w:tmpl w:val="1A3C3099"/>
    <w:lvl w:ilvl="0">
      <w:start w:val="1"/>
      <w:numFmt w:val="bullet"/>
      <w:lvlText w:val=""/>
      <w:lvlJc w:val="left"/>
      <w:pPr>
        <w:widowControl/>
        <w:ind w:left="980" w:hanging="420"/>
        <w:textAlignment w:val="baseline"/>
      </w:pPr>
      <w:rPr>
        <w:rFonts w:ascii="Wingdings" w:hAnsi="Wingdings"/>
      </w:rPr>
    </w:lvl>
    <w:lvl w:ilvl="1">
      <w:start w:val="1"/>
      <w:numFmt w:val="bullet"/>
      <w:lvlText w:val=""/>
      <w:lvlJc w:val="left"/>
      <w:pPr>
        <w:widowControl/>
        <w:ind w:left="1400" w:hanging="420"/>
        <w:textAlignment w:val="baseline"/>
      </w:pPr>
      <w:rPr>
        <w:rFonts w:ascii="Wingdings" w:hAnsi="Wingdings"/>
      </w:rPr>
    </w:lvl>
    <w:lvl w:ilvl="2">
      <w:start w:val="1"/>
      <w:numFmt w:val="bullet"/>
      <w:lvlText w:val=""/>
      <w:lvlJc w:val="left"/>
      <w:pPr>
        <w:widowControl/>
        <w:ind w:left="1820" w:hanging="420"/>
        <w:textAlignment w:val="baseline"/>
      </w:pPr>
      <w:rPr>
        <w:rFonts w:ascii="Wingdings" w:hAnsi="Wingdings"/>
      </w:rPr>
    </w:lvl>
    <w:lvl w:ilvl="3">
      <w:start w:val="1"/>
      <w:numFmt w:val="bullet"/>
      <w:lvlText w:val=""/>
      <w:lvlJc w:val="left"/>
      <w:pPr>
        <w:widowControl/>
        <w:ind w:left="2240" w:hanging="420"/>
        <w:textAlignment w:val="baseline"/>
      </w:pPr>
      <w:rPr>
        <w:rFonts w:ascii="Wingdings" w:hAnsi="Wingdings"/>
      </w:rPr>
    </w:lvl>
    <w:lvl w:ilvl="4">
      <w:start w:val="1"/>
      <w:numFmt w:val="bullet"/>
      <w:lvlText w:val=""/>
      <w:lvlJc w:val="left"/>
      <w:pPr>
        <w:widowControl/>
        <w:ind w:left="2660" w:hanging="420"/>
        <w:textAlignment w:val="baseline"/>
      </w:pPr>
      <w:rPr>
        <w:rFonts w:ascii="Wingdings" w:hAnsi="Wingdings"/>
      </w:rPr>
    </w:lvl>
    <w:lvl w:ilvl="5">
      <w:start w:val="1"/>
      <w:numFmt w:val="bullet"/>
      <w:lvlText w:val=""/>
      <w:lvlJc w:val="left"/>
      <w:pPr>
        <w:widowControl/>
        <w:ind w:left="3080" w:hanging="420"/>
        <w:textAlignment w:val="baseline"/>
      </w:pPr>
      <w:rPr>
        <w:rFonts w:ascii="Wingdings" w:hAnsi="Wingdings"/>
      </w:rPr>
    </w:lvl>
    <w:lvl w:ilvl="6">
      <w:start w:val="1"/>
      <w:numFmt w:val="bullet"/>
      <w:lvlText w:val=""/>
      <w:lvlJc w:val="left"/>
      <w:pPr>
        <w:widowControl/>
        <w:ind w:left="3500" w:hanging="420"/>
        <w:textAlignment w:val="baseline"/>
      </w:pPr>
      <w:rPr>
        <w:rFonts w:ascii="Wingdings" w:hAnsi="Wingdings"/>
      </w:rPr>
    </w:lvl>
    <w:lvl w:ilvl="7">
      <w:start w:val="1"/>
      <w:numFmt w:val="bullet"/>
      <w:lvlText w:val=""/>
      <w:lvlJc w:val="left"/>
      <w:pPr>
        <w:widowControl/>
        <w:ind w:left="3920" w:hanging="420"/>
        <w:textAlignment w:val="baseline"/>
      </w:pPr>
      <w:rPr>
        <w:rFonts w:ascii="Wingdings" w:hAnsi="Wingdings"/>
      </w:rPr>
    </w:lvl>
    <w:lvl w:ilvl="8">
      <w:start w:val="1"/>
      <w:numFmt w:val="bullet"/>
      <w:lvlText w:val=""/>
      <w:lvlJc w:val="left"/>
      <w:pPr>
        <w:widowControl/>
        <w:ind w:left="4340" w:hanging="420"/>
        <w:textAlignment w:val="baseline"/>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isplayHorizontalDrawingGridEvery w:val="0"/>
  <w:displayVerticalDrawingGridEvery w:val="2"/>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791FF7"/>
    <w:rsid w:val="000E4A1F"/>
    <w:rsid w:val="00410264"/>
    <w:rsid w:val="00575964"/>
    <w:rsid w:val="00586A71"/>
    <w:rsid w:val="00661D80"/>
    <w:rsid w:val="00791FF7"/>
    <w:rsid w:val="00E63A5A"/>
    <w:rsid w:val="00E83226"/>
    <w:rsid w:val="00F07906"/>
    <w:rsid w:val="00F366BD"/>
    <w:rsid w:val="00F910B7"/>
    <w:rsid w:val="00FA1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1FF7"/>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link w:val="UserStyle0"/>
    <w:rsid w:val="00791FF7"/>
    <w:pPr>
      <w:keepNext/>
      <w:keepLines/>
      <w:spacing w:before="340" w:after="330" w:line="578" w:lineRule="auto"/>
    </w:pPr>
    <w:rPr>
      <w:b/>
      <w:bCs/>
      <w:kern w:val="44"/>
      <w:sz w:val="44"/>
      <w:szCs w:val="44"/>
    </w:rPr>
  </w:style>
  <w:style w:type="paragraph" w:customStyle="1" w:styleId="Heading2">
    <w:name w:val="Heading2"/>
    <w:basedOn w:val="a"/>
    <w:next w:val="a"/>
    <w:link w:val="UserStyle0"/>
    <w:rsid w:val="00791FF7"/>
    <w:pPr>
      <w:keepNext/>
      <w:keepLines/>
      <w:spacing w:before="260" w:after="260" w:line="416" w:lineRule="auto"/>
    </w:pPr>
    <w:rPr>
      <w:rFonts w:ascii="Cambria" w:hAnsi="Cambria"/>
      <w:b/>
      <w:bCs/>
      <w:sz w:val="32"/>
      <w:szCs w:val="32"/>
    </w:rPr>
  </w:style>
  <w:style w:type="character" w:customStyle="1" w:styleId="NormalCharacter">
    <w:name w:val="NormalCharacter"/>
    <w:rsid w:val="00791FF7"/>
  </w:style>
  <w:style w:type="table" w:customStyle="1" w:styleId="TableNormal">
    <w:name w:val="TableNormal"/>
    <w:rsid w:val="00791FF7"/>
    <w:tblPr>
      <w:tblCellMar>
        <w:top w:w="0" w:type="dxa"/>
        <w:left w:w="0" w:type="dxa"/>
        <w:bottom w:w="0" w:type="dxa"/>
        <w:right w:w="0" w:type="dxa"/>
      </w:tblCellMar>
    </w:tblPr>
  </w:style>
  <w:style w:type="numbering" w:customStyle="1" w:styleId="NormalList">
    <w:name w:val="NormalList"/>
    <w:semiHidden/>
    <w:rsid w:val="00791FF7"/>
  </w:style>
  <w:style w:type="character" w:customStyle="1" w:styleId="UserStyle0">
    <w:name w:val="UserStyle_0"/>
    <w:link w:val="179"/>
    <w:rsid w:val="00791FF7"/>
    <w:rPr>
      <w:rFonts w:ascii="宋体" w:hAnsi="宋体"/>
      <w:sz w:val="24"/>
    </w:rPr>
  </w:style>
  <w:style w:type="character" w:customStyle="1" w:styleId="UserStyle1">
    <w:name w:val="UserStyle_1"/>
    <w:basedOn w:val="NormalCharacter"/>
    <w:link w:val="Heading2"/>
    <w:rsid w:val="00791FF7"/>
    <w:rPr>
      <w:rFonts w:ascii="Cambria" w:eastAsia="宋体" w:hAnsi="Cambria" w:cs="Times New Roman"/>
      <w:b/>
      <w:bCs/>
      <w:sz w:val="32"/>
      <w:szCs w:val="32"/>
    </w:rPr>
  </w:style>
  <w:style w:type="character" w:customStyle="1" w:styleId="UserStyle2">
    <w:name w:val="UserStyle_2"/>
    <w:basedOn w:val="NormalCharacter"/>
    <w:link w:val="Heading1"/>
    <w:rsid w:val="00791FF7"/>
    <w:rPr>
      <w:rFonts w:cs="Times New Roman"/>
      <w:b/>
      <w:bCs/>
      <w:kern w:val="44"/>
      <w:sz w:val="44"/>
      <w:szCs w:val="44"/>
    </w:rPr>
  </w:style>
  <w:style w:type="character" w:customStyle="1" w:styleId="UserStyle3">
    <w:name w:val="UserStyle_3"/>
    <w:basedOn w:val="NormalCharacter"/>
    <w:link w:val="NavPane"/>
    <w:semiHidden/>
    <w:rsid w:val="00791FF7"/>
    <w:rPr>
      <w:rFonts w:ascii="宋体" w:eastAsia="宋体"/>
      <w:sz w:val="18"/>
      <w:szCs w:val="18"/>
    </w:rPr>
  </w:style>
  <w:style w:type="character" w:customStyle="1" w:styleId="UserStyle4">
    <w:name w:val="UserStyle_4"/>
    <w:basedOn w:val="NormalCharacter"/>
    <w:link w:val="Header"/>
    <w:semiHidden/>
    <w:rsid w:val="00791FF7"/>
    <w:rPr>
      <w:sz w:val="18"/>
      <w:szCs w:val="18"/>
    </w:rPr>
  </w:style>
  <w:style w:type="character" w:customStyle="1" w:styleId="UserStyle5">
    <w:name w:val="UserStyle_5"/>
    <w:basedOn w:val="NormalCharacter"/>
    <w:link w:val="Footer"/>
    <w:semiHidden/>
    <w:rsid w:val="00791FF7"/>
    <w:rPr>
      <w:sz w:val="18"/>
      <w:szCs w:val="18"/>
    </w:rPr>
  </w:style>
  <w:style w:type="character" w:customStyle="1" w:styleId="Char">
    <w:name w:val="副标题 Char"/>
    <w:basedOn w:val="NormalCharacter"/>
    <w:link w:val="a3"/>
    <w:rsid w:val="00791FF7"/>
    <w:rPr>
      <w:rFonts w:ascii="Cambria" w:eastAsia="宋体" w:hAnsi="Cambria"/>
      <w:caps/>
      <w:spacing w:val="20"/>
      <w:kern w:val="0"/>
      <w:sz w:val="18"/>
      <w:szCs w:val="18"/>
    </w:rPr>
  </w:style>
  <w:style w:type="paragraph" w:styleId="a3">
    <w:name w:val="Subtitle"/>
    <w:basedOn w:val="a"/>
    <w:next w:val="a"/>
    <w:link w:val="Char"/>
    <w:rsid w:val="00791FF7"/>
    <w:pPr>
      <w:spacing w:after="560"/>
      <w:jc w:val="center"/>
    </w:pPr>
    <w:rPr>
      <w:rFonts w:ascii="Cambria" w:hAnsi="Cambria"/>
      <w:caps/>
      <w:spacing w:val="20"/>
      <w:kern w:val="0"/>
      <w:sz w:val="18"/>
      <w:szCs w:val="18"/>
    </w:rPr>
  </w:style>
  <w:style w:type="paragraph" w:customStyle="1" w:styleId="Header">
    <w:name w:val="Header"/>
    <w:basedOn w:val="a"/>
    <w:link w:val="UserStyle4"/>
    <w:rsid w:val="00791FF7"/>
    <w:pPr>
      <w:pBdr>
        <w:bottom w:val="single" w:sz="6" w:space="1" w:color="000000"/>
      </w:pBdr>
      <w:tabs>
        <w:tab w:val="center" w:pos="4153"/>
        <w:tab w:val="right" w:pos="8306"/>
      </w:tabs>
      <w:snapToGrid w:val="0"/>
      <w:jc w:val="center"/>
    </w:pPr>
    <w:rPr>
      <w:sz w:val="18"/>
      <w:szCs w:val="18"/>
    </w:rPr>
  </w:style>
  <w:style w:type="paragraph" w:customStyle="1" w:styleId="NavPane">
    <w:name w:val="NavPane"/>
    <w:basedOn w:val="a"/>
    <w:link w:val="UserStyle3"/>
    <w:rsid w:val="00791FF7"/>
    <w:rPr>
      <w:rFonts w:ascii="宋体"/>
      <w:sz w:val="18"/>
      <w:szCs w:val="18"/>
    </w:rPr>
  </w:style>
  <w:style w:type="paragraph" w:customStyle="1" w:styleId="Footer">
    <w:name w:val="Footer"/>
    <w:basedOn w:val="a"/>
    <w:link w:val="UserStyle5"/>
    <w:rsid w:val="00791FF7"/>
    <w:pPr>
      <w:tabs>
        <w:tab w:val="center" w:pos="4153"/>
        <w:tab w:val="right" w:pos="8306"/>
      </w:tabs>
      <w:snapToGrid w:val="0"/>
      <w:jc w:val="left"/>
    </w:pPr>
    <w:rPr>
      <w:sz w:val="18"/>
      <w:szCs w:val="18"/>
    </w:rPr>
  </w:style>
  <w:style w:type="paragraph" w:customStyle="1" w:styleId="179">
    <w:name w:val="179"/>
    <w:basedOn w:val="a"/>
    <w:link w:val="UserStyle0"/>
    <w:rsid w:val="00791FF7"/>
    <w:pPr>
      <w:spacing w:after="100" w:afterAutospacing="1" w:line="240" w:lineRule="atLeast"/>
      <w:ind w:left="980" w:hanging="420"/>
      <w:contextualSpacing/>
      <w:jc w:val="left"/>
    </w:pPr>
    <w:rPr>
      <w:rFonts w:ascii="宋体" w:hAnsi="宋体"/>
      <w:kern w:val="0"/>
      <w:sz w:val="24"/>
      <w:szCs w:val="20"/>
    </w:rPr>
  </w:style>
  <w:style w:type="table" w:customStyle="1" w:styleId="TableGrid">
    <w:name w:val="TableGrid"/>
    <w:basedOn w:val="TableNormal"/>
    <w:rsid w:val="00791FF7"/>
    <w:tblPr>
      <w:tblCellMar>
        <w:top w:w="0" w:type="dxa"/>
        <w:left w:w="0" w:type="dxa"/>
        <w:bottom w:w="0" w:type="dxa"/>
        <w:right w:w="0" w:type="dxa"/>
      </w:tblCellMar>
    </w:tblPr>
  </w:style>
  <w:style w:type="paragraph" w:styleId="a4">
    <w:name w:val="header"/>
    <w:basedOn w:val="a"/>
    <w:link w:val="Char0"/>
    <w:uiPriority w:val="99"/>
    <w:semiHidden/>
    <w:unhideWhenUsed/>
    <w:rsid w:val="00E832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83226"/>
    <w:rPr>
      <w:kern w:val="2"/>
      <w:sz w:val="18"/>
      <w:szCs w:val="18"/>
    </w:rPr>
  </w:style>
  <w:style w:type="paragraph" w:styleId="a5">
    <w:name w:val="footer"/>
    <w:basedOn w:val="a"/>
    <w:link w:val="Char1"/>
    <w:uiPriority w:val="99"/>
    <w:semiHidden/>
    <w:unhideWhenUsed/>
    <w:rsid w:val="00E8322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832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600</Words>
  <Characters>3426</Characters>
  <Application>Microsoft Office Word</Application>
  <DocSecurity>0</DocSecurity>
  <Lines>28</Lines>
  <Paragraphs>8</Paragraphs>
  <ScaleCrop>false</ScaleCrop>
  <Company>微软中国</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2</cp:revision>
  <dcterms:created xsi:type="dcterms:W3CDTF">2021-01-07T09:22:00Z</dcterms:created>
  <dcterms:modified xsi:type="dcterms:W3CDTF">2021-01-07T09:25:00Z</dcterms:modified>
</cp:coreProperties>
</file>