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72" w:rsidRDefault="00894E72" w:rsidP="00894E72">
      <w:pPr>
        <w:ind w:firstLineChars="27" w:firstLine="130"/>
        <w:jc w:val="left"/>
        <w:rPr>
          <w:rFonts w:ascii="黑体" w:eastAsia="黑体" w:hAnsi="黑体"/>
          <w:b/>
          <w:bCs/>
          <w:sz w:val="48"/>
          <w:szCs w:val="56"/>
        </w:rPr>
      </w:pPr>
      <w:r>
        <w:rPr>
          <w:rFonts w:ascii="黑体" w:eastAsia="黑体" w:hAnsi="黑体" w:hint="eastAsia"/>
          <w:b/>
          <w:bCs/>
          <w:sz w:val="48"/>
          <w:szCs w:val="56"/>
        </w:rPr>
        <w:t>附件2：</w:t>
      </w:r>
    </w:p>
    <w:p w:rsidR="00894E72" w:rsidRDefault="00894E72" w:rsidP="00894E72">
      <w:pPr>
        <w:ind w:firstLineChars="27" w:firstLine="130"/>
        <w:jc w:val="center"/>
        <w:rPr>
          <w:rFonts w:ascii="黑体" w:eastAsia="黑体" w:hAnsi="黑体"/>
          <w:b/>
          <w:bCs/>
          <w:sz w:val="48"/>
          <w:szCs w:val="56"/>
        </w:rPr>
      </w:pPr>
      <w:r w:rsidRPr="005109C5">
        <w:rPr>
          <w:rFonts w:ascii="黑体" w:eastAsia="黑体" w:hAnsi="黑体" w:hint="eastAsia"/>
          <w:b/>
          <w:bCs/>
          <w:sz w:val="48"/>
          <w:szCs w:val="56"/>
        </w:rPr>
        <w:t>驻马店市中医院</w:t>
      </w:r>
      <w:r w:rsidRPr="00894E72">
        <w:rPr>
          <w:rFonts w:ascii="黑体" w:eastAsia="黑体" w:hAnsi="黑体" w:hint="eastAsia"/>
          <w:b/>
          <w:bCs/>
          <w:sz w:val="48"/>
          <w:szCs w:val="56"/>
        </w:rPr>
        <w:t>医疗专用无线网络</w:t>
      </w:r>
    </w:p>
    <w:p w:rsidR="00894E72" w:rsidRPr="005109C5" w:rsidRDefault="00894E72" w:rsidP="00894E72">
      <w:pPr>
        <w:ind w:firstLineChars="27" w:firstLine="130"/>
        <w:jc w:val="center"/>
        <w:rPr>
          <w:rFonts w:ascii="黑体" w:eastAsia="黑体" w:hAnsi="黑体"/>
          <w:b/>
          <w:bCs/>
          <w:sz w:val="48"/>
          <w:szCs w:val="56"/>
        </w:rPr>
      </w:pPr>
      <w:r w:rsidRPr="00894E72">
        <w:rPr>
          <w:rFonts w:ascii="黑体" w:eastAsia="黑体" w:hAnsi="黑体" w:hint="eastAsia"/>
          <w:b/>
          <w:bCs/>
          <w:sz w:val="48"/>
          <w:szCs w:val="56"/>
        </w:rPr>
        <w:t>平台系统</w:t>
      </w:r>
      <w:r w:rsidRPr="005109C5">
        <w:rPr>
          <w:rFonts w:ascii="黑体" w:eastAsia="黑体" w:hAnsi="黑体" w:hint="eastAsia"/>
          <w:b/>
          <w:bCs/>
          <w:sz w:val="48"/>
          <w:szCs w:val="56"/>
        </w:rPr>
        <w:t>参数</w:t>
      </w:r>
    </w:p>
    <w:p w:rsidR="00894E72" w:rsidRPr="005109C5" w:rsidRDefault="00894E72" w:rsidP="00894E72">
      <w:pPr>
        <w:jc w:val="right"/>
        <w:rPr>
          <w:sz w:val="28"/>
        </w:rPr>
      </w:pPr>
      <w:r w:rsidRPr="005109C5">
        <w:rPr>
          <w:rFonts w:hint="eastAsia"/>
          <w:sz w:val="28"/>
        </w:rPr>
        <w:t>2021</w:t>
      </w:r>
      <w:r w:rsidRPr="005109C5">
        <w:rPr>
          <w:rFonts w:hint="eastAsia"/>
          <w:sz w:val="28"/>
        </w:rPr>
        <w:t>年</w:t>
      </w:r>
      <w:r w:rsidRPr="005109C5">
        <w:rPr>
          <w:rFonts w:hint="eastAsia"/>
          <w:sz w:val="28"/>
        </w:rPr>
        <w:t>2</w:t>
      </w:r>
      <w:r w:rsidRPr="005109C5">
        <w:rPr>
          <w:rFonts w:hint="eastAsia"/>
          <w:sz w:val="28"/>
        </w:rPr>
        <w:t>月</w:t>
      </w:r>
      <w:r w:rsidRPr="005109C5">
        <w:rPr>
          <w:rFonts w:hint="eastAsia"/>
          <w:sz w:val="28"/>
        </w:rPr>
        <w:t>24</w:t>
      </w:r>
      <w:r w:rsidRPr="005109C5">
        <w:rPr>
          <w:rFonts w:hint="eastAsia"/>
          <w:sz w:val="28"/>
        </w:rPr>
        <w:t>日</w:t>
      </w:r>
    </w:p>
    <w:p w:rsidR="00894E72" w:rsidRPr="00894E72" w:rsidRDefault="00894E72" w:rsidP="00894E72">
      <w:pPr>
        <w:rPr>
          <w:b/>
          <w:bCs/>
          <w:kern w:val="44"/>
          <w:sz w:val="36"/>
          <w:szCs w:val="44"/>
        </w:rPr>
      </w:pPr>
      <w:r w:rsidRPr="00894E72">
        <w:rPr>
          <w:rFonts w:hint="eastAsia"/>
          <w:b/>
          <w:bCs/>
          <w:kern w:val="44"/>
          <w:sz w:val="36"/>
          <w:szCs w:val="44"/>
        </w:rPr>
        <w:t>一</w:t>
      </w:r>
      <w:r>
        <w:rPr>
          <w:rFonts w:hint="eastAsia"/>
          <w:b/>
          <w:bCs/>
          <w:kern w:val="44"/>
          <w:sz w:val="36"/>
          <w:szCs w:val="44"/>
        </w:rPr>
        <w:t>、</w:t>
      </w:r>
      <w:r w:rsidRPr="00894E72">
        <w:rPr>
          <w:rFonts w:hint="eastAsia"/>
          <w:b/>
          <w:bCs/>
          <w:kern w:val="44"/>
          <w:sz w:val="36"/>
          <w:szCs w:val="44"/>
        </w:rPr>
        <w:t>设备清单参数</w:t>
      </w:r>
    </w:p>
    <w:tbl>
      <w:tblPr>
        <w:tblpPr w:leftFromText="180" w:rightFromText="180" w:vertAnchor="text" w:horzAnchor="margin" w:tblpXSpec="center" w:tblpY="74"/>
        <w:tblW w:w="849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4003"/>
        <w:gridCol w:w="840"/>
        <w:gridCol w:w="850"/>
      </w:tblGrid>
      <w:tr w:rsidR="00894E72" w:rsidRPr="0011349E" w:rsidTr="00E96F89">
        <w:trPr>
          <w:trHeight w:val="567"/>
        </w:trPr>
        <w:tc>
          <w:tcPr>
            <w:tcW w:w="817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序号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="440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设备名称</w:t>
            </w:r>
          </w:p>
        </w:tc>
        <w:tc>
          <w:tcPr>
            <w:tcW w:w="4003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ind w:firstLine="440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性能描述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单位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数量</w:t>
            </w:r>
          </w:p>
        </w:tc>
      </w:tr>
      <w:tr w:rsidR="00894E72" w:rsidRPr="0011349E" w:rsidTr="00E96F89">
        <w:trPr>
          <w:trHeight w:val="567"/>
        </w:trPr>
        <w:tc>
          <w:tcPr>
            <w:tcW w:w="817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无线网络控制器</w:t>
            </w:r>
          </w:p>
        </w:tc>
        <w:tc>
          <w:tcPr>
            <w:tcW w:w="4003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单台设备支持开户数授权</w:t>
            </w:r>
            <w:r w:rsidRPr="0011349E">
              <w:rPr>
                <w:sz w:val="22"/>
                <w:szCs w:val="21"/>
              </w:rPr>
              <w:t>≥10,000</w:t>
            </w:r>
            <w:r w:rsidRPr="0011349E">
              <w:rPr>
                <w:sz w:val="22"/>
                <w:szCs w:val="21"/>
              </w:rPr>
              <w:t>个，并发用户</w:t>
            </w:r>
            <w:r w:rsidRPr="0011349E">
              <w:rPr>
                <w:sz w:val="22"/>
                <w:szCs w:val="21"/>
              </w:rPr>
              <w:t>≥2,000</w:t>
            </w:r>
            <w:r w:rsidRPr="0011349E">
              <w:rPr>
                <w:sz w:val="22"/>
                <w:szCs w:val="21"/>
              </w:rPr>
              <w:t>个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套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</w:p>
        </w:tc>
      </w:tr>
      <w:tr w:rsidR="00894E72" w:rsidRPr="0011349E" w:rsidTr="00E96F89">
        <w:trPr>
          <w:trHeight w:val="64"/>
        </w:trPr>
        <w:tc>
          <w:tcPr>
            <w:tcW w:w="817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rFonts w:hint="eastAsia"/>
                <w:sz w:val="22"/>
                <w:szCs w:val="21"/>
              </w:rPr>
              <w:t>无线发射设备</w:t>
            </w:r>
            <w:r w:rsidRPr="0011349E">
              <w:rPr>
                <w:sz w:val="22"/>
                <w:szCs w:val="21"/>
              </w:rPr>
              <w:t>（含软、硬件）</w:t>
            </w:r>
          </w:p>
        </w:tc>
        <w:tc>
          <w:tcPr>
            <w:tcW w:w="4003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支持</w:t>
            </w:r>
            <w:r w:rsidRPr="0011349E">
              <w:rPr>
                <w:sz w:val="22"/>
                <w:szCs w:val="21"/>
              </w:rPr>
              <w:t>IEEE802.11 a/b/g/n/ac</w:t>
            </w:r>
            <w:r w:rsidRPr="0011349E">
              <w:rPr>
                <w:sz w:val="22"/>
                <w:szCs w:val="21"/>
              </w:rPr>
              <w:t>，</w:t>
            </w:r>
            <w:r w:rsidRPr="0011349E">
              <w:rPr>
                <w:sz w:val="22"/>
                <w:szCs w:val="21"/>
              </w:rPr>
              <w:t>2.4GHz</w:t>
            </w:r>
            <w:r w:rsidRPr="0011349E">
              <w:rPr>
                <w:sz w:val="22"/>
                <w:szCs w:val="21"/>
              </w:rPr>
              <w:t>及</w:t>
            </w:r>
            <w:r w:rsidRPr="0011349E">
              <w:rPr>
                <w:sz w:val="22"/>
                <w:szCs w:val="21"/>
              </w:rPr>
              <w:t>5GHz</w:t>
            </w:r>
            <w:r w:rsidRPr="0011349E">
              <w:rPr>
                <w:sz w:val="22"/>
                <w:szCs w:val="21"/>
              </w:rPr>
              <w:t>无线信号强度</w:t>
            </w:r>
            <w:r w:rsidRPr="0011349E">
              <w:rPr>
                <w:sz w:val="22"/>
                <w:szCs w:val="21"/>
              </w:rPr>
              <w:t xml:space="preserve">≥-75dBm 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套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</w:p>
        </w:tc>
      </w:tr>
      <w:tr w:rsidR="00894E72" w:rsidRPr="0011349E" w:rsidTr="00E96F89">
        <w:trPr>
          <w:trHeight w:val="567"/>
        </w:trPr>
        <w:tc>
          <w:tcPr>
            <w:tcW w:w="817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天线</w:t>
            </w:r>
          </w:p>
        </w:tc>
        <w:tc>
          <w:tcPr>
            <w:tcW w:w="4003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trike/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N-Female</w:t>
            </w:r>
            <w:r w:rsidRPr="0011349E">
              <w:rPr>
                <w:sz w:val="22"/>
                <w:szCs w:val="21"/>
              </w:rPr>
              <w:t>标准接口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套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</w:p>
        </w:tc>
      </w:tr>
      <w:tr w:rsidR="00894E72" w:rsidRPr="0011349E" w:rsidTr="00E96F89">
        <w:trPr>
          <w:trHeight w:val="567"/>
        </w:trPr>
        <w:tc>
          <w:tcPr>
            <w:tcW w:w="817" w:type="dxa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  <w:r w:rsidRPr="0011349E">
              <w:rPr>
                <w:rFonts w:hint="eastAsia"/>
                <w:sz w:val="22"/>
                <w:szCs w:val="21"/>
              </w:rPr>
              <w:t>基础配套设备</w:t>
            </w:r>
          </w:p>
        </w:tc>
        <w:tc>
          <w:tcPr>
            <w:tcW w:w="4003" w:type="dxa"/>
            <w:shd w:val="clear" w:color="000000" w:fill="FFFFFF"/>
            <w:vAlign w:val="center"/>
          </w:tcPr>
          <w:p w:rsidR="00894E72" w:rsidRPr="0011349E" w:rsidRDefault="00894E72" w:rsidP="00E96F89">
            <w:pPr>
              <w:rPr>
                <w:strike/>
                <w:sz w:val="22"/>
                <w:szCs w:val="21"/>
              </w:rPr>
            </w:pPr>
            <w:r w:rsidRPr="0011349E">
              <w:rPr>
                <w:sz w:val="22"/>
                <w:szCs w:val="21"/>
              </w:rPr>
              <w:t>N-Female</w:t>
            </w:r>
            <w:r w:rsidRPr="0011349E">
              <w:rPr>
                <w:sz w:val="22"/>
                <w:szCs w:val="21"/>
              </w:rPr>
              <w:t>标准接口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894E72" w:rsidRPr="0011349E" w:rsidRDefault="00894E72" w:rsidP="00E96F89">
            <w:pPr>
              <w:ind w:firstLineChars="83" w:firstLine="183"/>
              <w:rPr>
                <w:sz w:val="22"/>
                <w:szCs w:val="21"/>
              </w:rPr>
            </w:pPr>
            <w:r w:rsidRPr="0011349E">
              <w:rPr>
                <w:rFonts w:hint="eastAsia"/>
                <w:sz w:val="22"/>
                <w:szCs w:val="21"/>
              </w:rPr>
              <w:t>批</w:t>
            </w:r>
          </w:p>
        </w:tc>
        <w:tc>
          <w:tcPr>
            <w:tcW w:w="850" w:type="dxa"/>
            <w:noWrap/>
            <w:vAlign w:val="center"/>
          </w:tcPr>
          <w:p w:rsidR="00894E72" w:rsidRPr="0011349E" w:rsidRDefault="00894E72" w:rsidP="00E96F89">
            <w:pPr>
              <w:rPr>
                <w:sz w:val="22"/>
                <w:szCs w:val="21"/>
              </w:rPr>
            </w:pPr>
          </w:p>
        </w:tc>
      </w:tr>
    </w:tbl>
    <w:p w:rsidR="00894E72" w:rsidRDefault="00894E72" w:rsidP="00894E72">
      <w:pPr>
        <w:rPr>
          <w:b/>
          <w:bCs/>
          <w:kern w:val="44"/>
          <w:sz w:val="36"/>
          <w:szCs w:val="44"/>
        </w:rPr>
      </w:pPr>
    </w:p>
    <w:p w:rsidR="00894E72" w:rsidRPr="00894E72" w:rsidRDefault="00894E72" w:rsidP="00894E72">
      <w:pPr>
        <w:rPr>
          <w:b/>
          <w:bCs/>
          <w:kern w:val="44"/>
          <w:sz w:val="36"/>
          <w:szCs w:val="44"/>
        </w:rPr>
      </w:pPr>
      <w:r w:rsidRPr="00894E72">
        <w:rPr>
          <w:rFonts w:hint="eastAsia"/>
          <w:b/>
          <w:bCs/>
          <w:kern w:val="44"/>
          <w:sz w:val="36"/>
          <w:szCs w:val="44"/>
        </w:rPr>
        <w:t>二、总体技术要求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30"/>
        <w:gridCol w:w="7705"/>
      </w:tblGrid>
      <w:tr w:rsidR="00894E72" w:rsidRPr="006A62E0" w:rsidTr="00E96F89">
        <w:trPr>
          <w:trHeight w:val="270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b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/>
                <w:color w:val="auto"/>
                <w:sz w:val="21"/>
              </w:rPr>
              <w:t>序号</w:t>
            </w:r>
          </w:p>
        </w:tc>
        <w:tc>
          <w:tcPr>
            <w:tcW w:w="4567" w:type="pct"/>
            <w:shd w:val="clear" w:color="auto" w:fill="auto"/>
            <w:vAlign w:val="center"/>
            <w:hideMark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b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/>
                <w:color w:val="auto"/>
                <w:sz w:val="21"/>
              </w:rPr>
              <w:t>指标要求</w:t>
            </w:r>
          </w:p>
        </w:tc>
      </w:tr>
      <w:tr w:rsidR="00894E72" w:rsidRPr="006A62E0" w:rsidTr="00E96F89">
        <w:trPr>
          <w:trHeight w:val="368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1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481ACA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cs="宋体" w:hint="eastAsia"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color w:val="auto"/>
                <w:sz w:val="21"/>
              </w:rPr>
              <w:t>支持协议：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系统可并发支持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IEEE802.11a/b/g/n/ac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ZigBee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RFID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802.15.4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WMTS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等不同工作频点、不同技术协议的医疗级应用，扩展不同的系统应不受品牌、厂商的限制。投标技术方案须详细说明如何实现。</w:t>
            </w:r>
          </w:p>
        </w:tc>
      </w:tr>
      <w:tr w:rsidR="00894E72" w:rsidRPr="006A62E0" w:rsidTr="00E96F89">
        <w:trPr>
          <w:trHeight w:val="368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2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481ACA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cs="宋体" w:hint="eastAsia"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color w:val="auto"/>
                <w:sz w:val="21"/>
              </w:rPr>
              <w:t>支持频段：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为了能在不重复布线的前提下方便扩展各种智慧医疗物联网应用，减少重复投资，无线基础配套设备必须至少支持工作频率范围</w:t>
            </w:r>
            <w:r w:rsidRPr="00481ACA">
              <w:rPr>
                <w:rFonts w:ascii="Times New Roman" w:hAnsi="Times New Roman"/>
                <w:snapToGrid w:val="0"/>
                <w:color w:val="auto"/>
                <w:sz w:val="21"/>
              </w:rPr>
              <w:t>433-5850MHz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，保证各个频点的应用能够同时运行。</w:t>
            </w:r>
          </w:p>
        </w:tc>
      </w:tr>
      <w:tr w:rsidR="00894E72" w:rsidRPr="006A62E0" w:rsidTr="00E96F89">
        <w:trPr>
          <w:trHeight w:val="65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3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481ACA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481ACA">
              <w:rPr>
                <w:rFonts w:ascii="Times New Roman" w:hAnsi="Times New Roman"/>
                <w:color w:val="auto"/>
                <w:sz w:val="21"/>
              </w:rPr>
              <w:t>覆盖方式：投标方案优先采用室内分布系统技术模式，所有网络有源设备必须集中安装在弱电间或信息中心机房内，以保证稳定的运行环境和网络设备物理安全，同时方便管理和维护。</w:t>
            </w:r>
          </w:p>
        </w:tc>
      </w:tr>
      <w:tr w:rsidR="00894E72" w:rsidRPr="006A62E0" w:rsidTr="00E96F89">
        <w:trPr>
          <w:trHeight w:val="65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4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481ACA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/>
                <w:color w:val="auto"/>
                <w:sz w:val="21"/>
              </w:rPr>
              <w:t>天线配置：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为保证信号质量，要求每个病房及医护办公室至少安装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1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个无线天线。</w:t>
            </w:r>
          </w:p>
        </w:tc>
      </w:tr>
      <w:tr w:rsidR="00894E72" w:rsidRPr="006A62E0" w:rsidTr="00E96F89">
        <w:trPr>
          <w:trHeight w:val="65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5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481ACA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/>
                <w:color w:val="auto"/>
                <w:sz w:val="21"/>
              </w:rPr>
              <w:t>信号强度：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在目标区域的覆盖范围内，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WLAN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须同时支持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 xml:space="preserve">2.4GHz 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和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5GHz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信号发射，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 xml:space="preserve">2.4GHz 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和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5GHz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信号强度应始终保持在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-75dBm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以上。</w:t>
            </w:r>
          </w:p>
        </w:tc>
      </w:tr>
      <w:tr w:rsidR="00894E72" w:rsidRPr="006A62E0" w:rsidTr="00E96F89">
        <w:trPr>
          <w:trHeight w:val="59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6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481ACA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cs="宋体" w:hint="eastAsia"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color w:val="auto"/>
                <w:sz w:val="21"/>
              </w:rPr>
              <w:t>漫游切换：</w:t>
            </w:r>
            <w:r w:rsidRPr="00481ACA">
              <w:rPr>
                <w:rFonts w:ascii="Times New Roman" w:hAnsi="Times New Roman" w:hint="eastAsia"/>
                <w:color w:val="auto"/>
                <w:sz w:val="21"/>
              </w:rPr>
              <w:t>内网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2.4GHz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及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5GHz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无线信号须同时实现单一病区内零漫游、零切换。投标技术方案须详细说明如何实现。</w:t>
            </w:r>
          </w:p>
        </w:tc>
      </w:tr>
      <w:tr w:rsidR="00894E72" w:rsidRPr="006A62E0" w:rsidTr="00E96F89">
        <w:trPr>
          <w:trHeight w:val="304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lastRenderedPageBreak/>
              <w:t>7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EE02D1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EE02D1">
              <w:rPr>
                <w:rFonts w:ascii="Times New Roman" w:hAnsi="Times New Roman"/>
                <w:color w:val="auto"/>
                <w:sz w:val="21"/>
              </w:rPr>
              <w:t>信号稳定性：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在招标要求的覆盖范围内，</w:t>
            </w:r>
            <w:r>
              <w:rPr>
                <w:rFonts w:ascii="Times New Roman" w:hAnsi="Times New Roman" w:hint="eastAsia"/>
                <w:color w:val="auto"/>
                <w:sz w:val="21"/>
              </w:rPr>
              <w:t>内网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不论是在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2.4GHz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还是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5GHz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无线网络下，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PDA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在同一病区病房之间移动中测试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ping 10000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字节的包，丢包率为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0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（连续测试时间不少于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5</w:t>
            </w:r>
            <w:r w:rsidRPr="00EE02D1">
              <w:rPr>
                <w:rFonts w:ascii="Times New Roman" w:hAnsi="Times New Roman"/>
                <w:bCs/>
                <w:color w:val="auto"/>
                <w:sz w:val="21"/>
              </w:rPr>
              <w:t>分钟）。</w:t>
            </w:r>
          </w:p>
        </w:tc>
      </w:tr>
      <w:tr w:rsidR="00894E72" w:rsidRPr="006A62E0" w:rsidTr="00E96F89">
        <w:trPr>
          <w:trHeight w:val="65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8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信道干扰：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2.4GHz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及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5GHz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无线内网和外网信号在同一病区分别不得占用超过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个信道。</w:t>
            </w:r>
          </w:p>
        </w:tc>
      </w:tr>
      <w:tr w:rsidR="00894E72" w:rsidRPr="006A62E0" w:rsidTr="00E96F89">
        <w:trPr>
          <w:trHeight w:val="164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9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升级选项：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可升级支持全网冗余备份、线性扩容或内、外网物理隔离，并非同一设备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VLAN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隔离或同一设备的两个网口分开使用，不能共用任何有源设备。</w:t>
            </w:r>
          </w:p>
        </w:tc>
      </w:tr>
      <w:tr w:rsidR="00894E72" w:rsidRPr="006A62E0" w:rsidTr="00E96F89">
        <w:trPr>
          <w:trHeight w:val="59"/>
          <w:jc w:val="center"/>
        </w:trPr>
        <w:tc>
          <w:tcPr>
            <w:tcW w:w="433" w:type="pct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10</w:t>
            </w:r>
          </w:p>
        </w:tc>
        <w:tc>
          <w:tcPr>
            <w:tcW w:w="4567" w:type="pct"/>
            <w:shd w:val="clear" w:color="auto" w:fill="auto"/>
            <w:vAlign w:val="center"/>
          </w:tcPr>
          <w:p w:rsidR="00894E72" w:rsidRPr="006A62E0" w:rsidRDefault="00894E72" w:rsidP="00E96F89">
            <w:pPr>
              <w:pStyle w:val="a3"/>
              <w:spacing w:before="120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color w:val="auto"/>
                <w:sz w:val="21"/>
              </w:rPr>
              <w:t>施工要求：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合理利用现有有线网络设施，避免重复投资；安装过程中应充分考虑设备物理安全，所有设备必须有相应的安全措施，并安装在不易被人触及的位置；有源的无线设备的安装应尽量集中，以便管理，安装位置需明确标示；布线时应充分考虑防潮、防尘、防震等环境因素；在施工过程中，暴露在外的天线应不影响建筑物室内装潢的整体美观。</w:t>
            </w:r>
          </w:p>
        </w:tc>
      </w:tr>
    </w:tbl>
    <w:p w:rsidR="00894E72" w:rsidRDefault="00894E72" w:rsidP="00894E72"/>
    <w:p w:rsidR="00894E72" w:rsidRPr="00894E72" w:rsidRDefault="00894E72" w:rsidP="00894E72">
      <w:r w:rsidRPr="00894E72">
        <w:rPr>
          <w:rFonts w:hint="eastAsia"/>
          <w:b/>
          <w:bCs/>
          <w:kern w:val="44"/>
          <w:sz w:val="36"/>
          <w:szCs w:val="44"/>
        </w:rPr>
        <w:t>三、设备技术指标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01"/>
        <w:gridCol w:w="6379"/>
      </w:tblGrid>
      <w:tr w:rsidR="00894E72" w:rsidRPr="006A62E0" w:rsidTr="00E96F89">
        <w:tc>
          <w:tcPr>
            <w:tcW w:w="709" w:type="dxa"/>
            <w:vAlign w:val="center"/>
          </w:tcPr>
          <w:p w:rsidR="00894E72" w:rsidRPr="00AB76C1" w:rsidRDefault="00894E72" w:rsidP="00E96F89">
            <w:pPr>
              <w:pStyle w:val="a3"/>
              <w:spacing w:before="120" w:line="360" w:lineRule="auto"/>
              <w:jc w:val="center"/>
              <w:rPr>
                <w:rFonts w:ascii="Times New Roman" w:hAnsi="Times New Roman"/>
                <w:b/>
                <w:color w:val="auto"/>
                <w:sz w:val="21"/>
              </w:rPr>
            </w:pPr>
            <w:r w:rsidRPr="00AB76C1">
              <w:rPr>
                <w:rFonts w:ascii="Times New Roman" w:hAnsi="Times New Roman"/>
                <w:b/>
                <w:color w:val="auto"/>
                <w:sz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E72" w:rsidRPr="00AB76C1" w:rsidRDefault="00894E72" w:rsidP="00E96F89">
            <w:pPr>
              <w:pStyle w:val="a3"/>
              <w:spacing w:before="120" w:line="360" w:lineRule="auto"/>
              <w:jc w:val="center"/>
              <w:rPr>
                <w:rFonts w:ascii="Times New Roman" w:hAnsi="Times New Roman"/>
                <w:b/>
                <w:color w:val="auto"/>
                <w:sz w:val="21"/>
              </w:rPr>
            </w:pPr>
            <w:r w:rsidRPr="00AB76C1">
              <w:rPr>
                <w:rFonts w:ascii="Times New Roman" w:hAnsi="Times New Roman"/>
                <w:b/>
                <w:color w:val="auto"/>
                <w:sz w:val="21"/>
              </w:rPr>
              <w:t>设备名称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4E72" w:rsidRPr="00AB76C1" w:rsidRDefault="00894E72" w:rsidP="00E96F89">
            <w:pPr>
              <w:pStyle w:val="a3"/>
              <w:spacing w:before="120" w:line="360" w:lineRule="auto"/>
              <w:jc w:val="center"/>
              <w:rPr>
                <w:rFonts w:ascii="Times New Roman" w:hAnsi="Times New Roman"/>
                <w:b/>
                <w:color w:val="auto"/>
                <w:sz w:val="21"/>
              </w:rPr>
            </w:pPr>
            <w:r w:rsidRPr="00AB76C1">
              <w:rPr>
                <w:rFonts w:ascii="Times New Roman" w:hAnsi="Times New Roman"/>
                <w:b/>
                <w:color w:val="auto"/>
                <w:sz w:val="21"/>
              </w:rPr>
              <w:t>指标要求</w:t>
            </w:r>
          </w:p>
        </w:tc>
      </w:tr>
      <w:tr w:rsidR="00894E72" w:rsidRPr="00481ACA" w:rsidTr="00E96F89">
        <w:tc>
          <w:tcPr>
            <w:tcW w:w="709" w:type="dxa"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4E72" w:rsidRPr="00481ACA" w:rsidRDefault="00894E72" w:rsidP="00E96F89">
            <w:pPr>
              <w:pStyle w:val="a3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无线网络控制器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4E72" w:rsidRPr="00481ACA" w:rsidRDefault="00894E72" w:rsidP="00E96F89">
            <w:pPr>
              <w:pStyle w:val="a3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1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可管理基站数量：不受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License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限制；</w:t>
            </w:r>
          </w:p>
          <w:p w:rsidR="00894E72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2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cs="宋体" w:hint="eastAsia"/>
                <w:bCs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授权许可：单台设备支持开户数授权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≥10,000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个，并发用户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≥2,000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个；</w:t>
            </w:r>
          </w:p>
          <w:p w:rsidR="00894E72" w:rsidRPr="00481ACA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3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、安全规范：支持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802.11i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标准；</w:t>
            </w:r>
          </w:p>
          <w:p w:rsidR="00894E72" w:rsidRPr="00481ACA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4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、用户认证：支持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802.1X/WPA/WPA2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认证，支持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MAC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地址认证及开放接入，支持本地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RADIUS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服务器及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RADIUS Client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配置；</w:t>
            </w:r>
          </w:p>
          <w:p w:rsidR="00894E72" w:rsidRPr="00481ACA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5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、用户管理：提供方便的用户管理系统，支持用户开户、销户及修改；</w:t>
            </w:r>
          </w:p>
          <w:p w:rsidR="00894E72" w:rsidRPr="00481ACA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6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、第三方接口：支持对接多种用户数据库，支持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RADIUS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等统一身份认证；</w:t>
            </w:r>
          </w:p>
          <w:p w:rsidR="00894E72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7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、兼容性：兼容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Windows XP/7/8/Vista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Windows Phone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iOS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Mac OS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以及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Android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等常见操作系统认证；</w:t>
            </w:r>
          </w:p>
          <w:p w:rsidR="00894E72" w:rsidRPr="00481ACA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8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、可靠性：多台控制器可实现冗余备份；</w:t>
            </w:r>
          </w:p>
        </w:tc>
      </w:tr>
      <w:tr w:rsidR="00894E72" w:rsidRPr="006A62E0" w:rsidTr="00E96F89">
        <w:tc>
          <w:tcPr>
            <w:tcW w:w="709" w:type="dxa"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无线发射设备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（含软、硬件）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802.11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标准：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IEEE802.11a/b/g/n/ac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、占用带宽：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≤160MHz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≤80MHz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和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≤40MHz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3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cs="宋体" w:hint="eastAsia"/>
                <w:bCs/>
                <w:color w:val="auto"/>
                <w:sz w:val="21"/>
              </w:rPr>
              <w:t>★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无线信号强度：病房内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2.4GHz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及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5GHz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无线信号强度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≥-75dBm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，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lastRenderedPageBreak/>
              <w:t>并满足同时实现单一病区内移动终端零漫游，零切换</w:t>
            </w:r>
            <w:r>
              <w:rPr>
                <w:rFonts w:ascii="Times New Roman" w:hAnsi="Times New Roman" w:hint="eastAsia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4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、安全标准：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802.11i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，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WEP, Dynamic WEP, WPA-PSK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，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WPA2-PSK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，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WPA, WPA2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5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SSID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：支持；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6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VLAN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：支持；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7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、冗余备份、负载均衡：可升级；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8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cs="宋体" w:hint="eastAsia"/>
                <w:bCs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内、外网物理隔离：可升级支持内、外网物理隔离，并非同一设备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VLAN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隔离或同一设备的两个网口分开使用，不能共用任何有源设备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9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QoS 802.11e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：支持；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10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、频率范围、工作信道：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 xml:space="preserve">- 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中国标准：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2.412 to 2.472 GHz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13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信道</w:t>
            </w:r>
            <w:r>
              <w:rPr>
                <w:rFonts w:ascii="Times New Roman" w:hAnsi="Times New Roman" w:hint="eastAsia"/>
                <w:bCs/>
                <w:color w:val="auto"/>
                <w:sz w:val="21"/>
              </w:rPr>
              <w:t>；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 xml:space="preserve">5.150 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至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 xml:space="preserve"> 5.350 GHz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8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信道</w:t>
            </w:r>
            <w:r>
              <w:rPr>
                <w:rFonts w:ascii="Times New Roman" w:hAnsi="Times New Roman" w:hint="eastAsia"/>
                <w:bCs/>
                <w:color w:val="auto"/>
                <w:sz w:val="21"/>
              </w:rPr>
              <w:t>；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 xml:space="preserve">5.725 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至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 xml:space="preserve"> 5.850 GHz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5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信道；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11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RF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接口：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 xml:space="preserve">N-female 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标准接口；</w:t>
            </w:r>
          </w:p>
          <w:p w:rsidR="00894E72" w:rsidRPr="006A62E0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12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、网络接口：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10/100/1000Mbps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以太网接口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≥1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个，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Console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端口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≥1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个；</w:t>
            </w:r>
          </w:p>
        </w:tc>
      </w:tr>
      <w:tr w:rsidR="00894E72" w:rsidRPr="006A62E0" w:rsidTr="00E96F89">
        <w:tc>
          <w:tcPr>
            <w:tcW w:w="709" w:type="dxa"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天线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1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、工作频率：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400-6000MHz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2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、增益：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433-600MHz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≥0.2dBi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800-920MHz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≥5dBi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2400-5850MHz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≥5.5dBi</w:t>
            </w:r>
            <w:r>
              <w:rPr>
                <w:rFonts w:ascii="Times New Roman" w:hAnsi="Times New Roman" w:hint="eastAsia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3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、电压驻波比：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433-600MHz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≤8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800-920MHz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≤1.6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2400-5850MHz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≤1.6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4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、效率：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433-600MHz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≥40%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800-920MHz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≥85%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2400-5850MHz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≥80%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5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、极化方向：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Vertical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6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、物理尺寸：直径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≤240mm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，高度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≤85mm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7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、功率容量：</w:t>
            </w:r>
            <w:r w:rsidRPr="006A62E0">
              <w:rPr>
                <w:rFonts w:ascii="Times New Roman" w:hAnsi="Times New Roman"/>
                <w:bCs/>
                <w:color w:val="auto"/>
              </w:rPr>
              <w:t>≥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30W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8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、接口形式：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N Female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6A62E0" w:rsidRDefault="00894E72" w:rsidP="00E96F89">
            <w:pPr>
              <w:pStyle w:val="a3"/>
              <w:spacing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 w:hint="eastAsia"/>
                <w:bCs/>
                <w:color w:val="auto"/>
                <w:sz w:val="21"/>
              </w:rPr>
              <w:t>9</w:t>
            </w: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、安装方式：</w:t>
            </w:r>
            <w:r w:rsidRPr="006A62E0">
              <w:rPr>
                <w:rFonts w:ascii="Times New Roman" w:hAnsi="Times New Roman"/>
                <w:color w:val="auto"/>
                <w:sz w:val="21"/>
              </w:rPr>
              <w:t>吸顶安装；</w:t>
            </w:r>
          </w:p>
        </w:tc>
      </w:tr>
      <w:tr w:rsidR="00894E72" w:rsidRPr="00481ACA" w:rsidTr="00E96F89">
        <w:tc>
          <w:tcPr>
            <w:tcW w:w="709" w:type="dxa"/>
            <w:vAlign w:val="center"/>
          </w:tcPr>
          <w:p w:rsidR="00894E72" w:rsidRPr="006A62E0" w:rsidRDefault="00894E72" w:rsidP="00E96F89">
            <w:pPr>
              <w:pStyle w:val="a3"/>
              <w:spacing w:before="120" w:line="360" w:lineRule="auto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6A62E0">
              <w:rPr>
                <w:rFonts w:ascii="Times New Roman" w:hAnsi="Times New Roman"/>
                <w:bCs/>
                <w:color w:val="auto"/>
                <w:sz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4E72" w:rsidRPr="00481ACA" w:rsidRDefault="00894E72" w:rsidP="00E96F89">
            <w:pPr>
              <w:pStyle w:val="a3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基础配套设备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94E72" w:rsidRPr="00481ACA" w:rsidRDefault="00894E72" w:rsidP="00E96F89">
            <w:pPr>
              <w:pStyle w:val="a3"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1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、工作频率：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400-6000MHz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481ACA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2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cs="宋体" w:hint="eastAsia"/>
                <w:bCs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插入损耗：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5dB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耦合器：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≤2.35dB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7dB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耦合器：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≤1.55dB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10dB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lastRenderedPageBreak/>
              <w:t>耦合器：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≤1dB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；</w:t>
            </w:r>
            <w:r w:rsidRPr="00481ACA">
              <w:rPr>
                <w:rFonts w:ascii="Times New Roman" w:hAnsi="Times New Roman"/>
                <w:color w:val="auto"/>
                <w:sz w:val="21"/>
              </w:rPr>
              <w:t>二功分器：</w:t>
            </w:r>
            <w:r w:rsidRPr="00481ACA">
              <w:rPr>
                <w:rFonts w:ascii="Times New Roman" w:hAnsi="Times New Roman"/>
                <w:color w:val="auto"/>
                <w:sz w:val="21"/>
              </w:rPr>
              <w:t>≤3.6dB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（须提供产品检测报告佐证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，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并加盖原厂公章）；</w:t>
            </w:r>
          </w:p>
          <w:p w:rsidR="00894E72" w:rsidRPr="00481ACA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3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</w:t>
            </w:r>
            <w:r w:rsidRPr="00481ACA">
              <w:rPr>
                <w:rFonts w:cs="宋体" w:hint="eastAsia"/>
                <w:bCs/>
                <w:color w:val="auto"/>
                <w:sz w:val="21"/>
              </w:rPr>
              <w:t>★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输入驻波比：耦合器：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≤1.5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；二功分器：</w:t>
            </w:r>
            <w:r w:rsidRPr="00481ACA">
              <w:rPr>
                <w:rFonts w:ascii="Times New Roman" w:hAnsi="Times New Roman"/>
                <w:color w:val="auto"/>
                <w:sz w:val="21"/>
              </w:rPr>
              <w:t>≤1.85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（须提供产品检测报告佐证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，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并加盖原厂公章）；</w:t>
            </w:r>
          </w:p>
          <w:p w:rsidR="00894E72" w:rsidRPr="00481ACA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4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、功率容量：</w:t>
            </w:r>
            <w:r w:rsidRPr="00481ACA">
              <w:rPr>
                <w:rFonts w:ascii="Times New Roman" w:hAnsi="Times New Roman"/>
                <w:bCs/>
                <w:color w:val="auto"/>
              </w:rPr>
              <w:t>≥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20W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481ACA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5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、接口形式：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N-Female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；</w:t>
            </w:r>
          </w:p>
          <w:p w:rsidR="00894E72" w:rsidRPr="00481ACA" w:rsidRDefault="00894E72" w:rsidP="00E96F89">
            <w:pPr>
              <w:pStyle w:val="a3"/>
              <w:spacing w:line="360" w:lineRule="auto"/>
              <w:jc w:val="left"/>
              <w:rPr>
                <w:rFonts w:ascii="Times New Roman" w:hAnsi="Times New Roman"/>
                <w:bCs/>
                <w:color w:val="auto"/>
                <w:sz w:val="21"/>
              </w:rPr>
            </w:pP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6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、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1/2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”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阻燃馈线：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内导体：铜包铝线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Ф4.80±0.05mm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，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最大直流电阻：</w:t>
            </w:r>
            <w:r w:rsidRPr="00481ACA">
              <w:rPr>
                <w:rFonts w:ascii="Times New Roman" w:hAnsi="Times New Roman"/>
                <w:color w:val="auto"/>
                <w:sz w:val="21"/>
              </w:rPr>
              <w:t>≤</w:t>
            </w:r>
            <w:r w:rsidRPr="00481ACA">
              <w:rPr>
                <w:rFonts w:ascii="Times New Roman" w:hAnsi="Times New Roman"/>
                <w:bCs/>
                <w:color w:val="auto"/>
                <w:sz w:val="21"/>
              </w:rPr>
              <w:t>1.62 Ω/km</w:t>
            </w:r>
            <w:r w:rsidRPr="00481ACA">
              <w:rPr>
                <w:rFonts w:ascii="Times New Roman" w:hAnsi="Times New Roman" w:hint="eastAsia"/>
                <w:bCs/>
                <w:color w:val="auto"/>
                <w:sz w:val="21"/>
              </w:rPr>
              <w:t>；</w:t>
            </w:r>
          </w:p>
        </w:tc>
      </w:tr>
    </w:tbl>
    <w:p w:rsidR="00894E72" w:rsidRPr="00557941" w:rsidRDefault="00894E72" w:rsidP="00894E72">
      <w:pPr>
        <w:ind w:firstLine="480"/>
      </w:pPr>
    </w:p>
    <w:p w:rsidR="009E7D9F" w:rsidRPr="00894E72" w:rsidRDefault="009E7D9F"/>
    <w:sectPr w:rsidR="009E7D9F" w:rsidRPr="00894E72" w:rsidSect="00AF78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20" w:rsidRDefault="00F73720" w:rsidP="00894E72">
      <w:pPr>
        <w:spacing w:line="240" w:lineRule="auto"/>
        <w:ind w:firstLine="480"/>
      </w:pPr>
      <w:r>
        <w:separator/>
      </w:r>
    </w:p>
  </w:endnote>
  <w:endnote w:type="continuationSeparator" w:id="1">
    <w:p w:rsidR="00F73720" w:rsidRDefault="00F73720" w:rsidP="00894E7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6816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94E72" w:rsidRDefault="00894E7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F78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7838">
              <w:rPr>
                <w:b/>
                <w:sz w:val="24"/>
                <w:szCs w:val="24"/>
              </w:rPr>
              <w:fldChar w:fldCharType="separate"/>
            </w:r>
            <w:r w:rsidR="00B519F3">
              <w:rPr>
                <w:b/>
                <w:noProof/>
              </w:rPr>
              <w:t>4</w:t>
            </w:r>
            <w:r w:rsidR="00AF783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F78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7838">
              <w:rPr>
                <w:b/>
                <w:sz w:val="24"/>
                <w:szCs w:val="24"/>
              </w:rPr>
              <w:fldChar w:fldCharType="separate"/>
            </w:r>
            <w:r w:rsidR="00B519F3">
              <w:rPr>
                <w:b/>
                <w:noProof/>
              </w:rPr>
              <w:t>4</w:t>
            </w:r>
            <w:r w:rsidR="00AF78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E72" w:rsidRDefault="00894E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20" w:rsidRDefault="00F73720" w:rsidP="00894E72">
      <w:pPr>
        <w:spacing w:line="240" w:lineRule="auto"/>
        <w:ind w:firstLine="480"/>
      </w:pPr>
      <w:r>
        <w:separator/>
      </w:r>
    </w:p>
  </w:footnote>
  <w:footnote w:type="continuationSeparator" w:id="1">
    <w:p w:rsidR="00F73720" w:rsidRDefault="00F73720" w:rsidP="00894E72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3565"/>
    <w:multiLevelType w:val="multilevel"/>
    <w:tmpl w:val="B832E706"/>
    <w:lvl w:ilvl="0">
      <w:start w:val="1"/>
      <w:numFmt w:val="chi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E72"/>
    <w:rsid w:val="00894E72"/>
    <w:rsid w:val="009E7D9F"/>
    <w:rsid w:val="00AF7838"/>
    <w:rsid w:val="00B519F3"/>
    <w:rsid w:val="00F7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72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aliases w:val="1"/>
    <w:basedOn w:val="a"/>
    <w:next w:val="a"/>
    <w:link w:val="1Char"/>
    <w:uiPriority w:val="9"/>
    <w:qFormat/>
    <w:rsid w:val="00894E72"/>
    <w:pPr>
      <w:keepNext/>
      <w:keepLines/>
      <w:numPr>
        <w:numId w:val="1"/>
      </w:numPr>
      <w:ind w:leftChars="100" w:left="0" w:rightChars="100" w:right="100" w:firstLine="0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1.1"/>
    <w:basedOn w:val="a"/>
    <w:next w:val="a"/>
    <w:link w:val="2Char"/>
    <w:unhideWhenUsed/>
    <w:qFormat/>
    <w:rsid w:val="00894E72"/>
    <w:pPr>
      <w:keepNext/>
      <w:keepLines/>
      <w:numPr>
        <w:ilvl w:val="1"/>
        <w:numId w:val="1"/>
      </w:numPr>
      <w:spacing w:after="120"/>
      <w:ind w:left="0" w:firstLineChars="200" w:firstLine="0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aliases w:val="1.1.1"/>
    <w:basedOn w:val="a"/>
    <w:next w:val="a"/>
    <w:link w:val="3Char"/>
    <w:uiPriority w:val="9"/>
    <w:unhideWhenUsed/>
    <w:qFormat/>
    <w:rsid w:val="00894E72"/>
    <w:pPr>
      <w:keepNext/>
      <w:keepLines/>
      <w:numPr>
        <w:ilvl w:val="2"/>
        <w:numId w:val="1"/>
      </w:numPr>
      <w:spacing w:before="120" w:after="120"/>
      <w:ind w:left="0" w:firstLineChars="200" w:firstLine="0"/>
      <w:outlineLvl w:val="2"/>
    </w:pPr>
    <w:rPr>
      <w:b/>
      <w:bCs/>
      <w:sz w:val="28"/>
      <w:szCs w:val="32"/>
    </w:rPr>
  </w:style>
  <w:style w:type="paragraph" w:styleId="4">
    <w:name w:val="heading 4"/>
    <w:aliases w:val="1.1.1.1"/>
    <w:basedOn w:val="a"/>
    <w:next w:val="a"/>
    <w:link w:val="4Char"/>
    <w:uiPriority w:val="9"/>
    <w:unhideWhenUsed/>
    <w:qFormat/>
    <w:rsid w:val="00894E72"/>
    <w:pPr>
      <w:keepNext/>
      <w:keepLines/>
      <w:numPr>
        <w:ilvl w:val="3"/>
        <w:numId w:val="1"/>
      </w:numPr>
      <w:spacing w:before="120" w:after="120"/>
      <w:ind w:left="0" w:firstLineChars="200" w:firstLine="0"/>
      <w:jc w:val="lef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aliases w:val="1.1.1.1.1"/>
    <w:basedOn w:val="a"/>
    <w:next w:val="a"/>
    <w:link w:val="5Char"/>
    <w:uiPriority w:val="9"/>
    <w:unhideWhenUsed/>
    <w:qFormat/>
    <w:rsid w:val="00894E72"/>
    <w:pPr>
      <w:keepNext/>
      <w:keepLines/>
      <w:numPr>
        <w:ilvl w:val="4"/>
        <w:numId w:val="1"/>
      </w:numPr>
      <w:spacing w:before="120" w:after="120"/>
      <w:ind w:left="0" w:firstLineChars="200" w:firstLine="0"/>
      <w:outlineLvl w:val="4"/>
    </w:pPr>
    <w:rPr>
      <w:b/>
      <w:bCs/>
      <w:szCs w:val="28"/>
    </w:rPr>
  </w:style>
  <w:style w:type="paragraph" w:styleId="6">
    <w:name w:val="heading 6"/>
    <w:aliases w:val="1.1.1.1.1.1"/>
    <w:basedOn w:val="a"/>
    <w:next w:val="a"/>
    <w:link w:val="6Char"/>
    <w:uiPriority w:val="9"/>
    <w:unhideWhenUsed/>
    <w:qFormat/>
    <w:rsid w:val="00894E72"/>
    <w:pPr>
      <w:keepNext/>
      <w:keepLines/>
      <w:numPr>
        <w:ilvl w:val="5"/>
        <w:numId w:val="1"/>
      </w:numPr>
      <w:spacing w:before="240" w:after="64"/>
      <w:ind w:leftChars="100" w:left="2840" w:rightChars="100" w:right="100" w:firstLineChars="200" w:firstLine="20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 Char"/>
    <w:basedOn w:val="a0"/>
    <w:link w:val="1"/>
    <w:uiPriority w:val="9"/>
    <w:rsid w:val="00894E72"/>
    <w:rPr>
      <w:rFonts w:eastAsia="宋体"/>
      <w:b/>
      <w:bCs/>
      <w:kern w:val="44"/>
      <w:sz w:val="36"/>
      <w:szCs w:val="44"/>
    </w:rPr>
  </w:style>
  <w:style w:type="character" w:customStyle="1" w:styleId="2Char">
    <w:name w:val="标题 2 Char"/>
    <w:aliases w:val="1.1 Char"/>
    <w:basedOn w:val="a0"/>
    <w:link w:val="2"/>
    <w:rsid w:val="00894E7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aliases w:val="1.1.1 Char"/>
    <w:basedOn w:val="a0"/>
    <w:link w:val="3"/>
    <w:uiPriority w:val="9"/>
    <w:rsid w:val="00894E72"/>
    <w:rPr>
      <w:rFonts w:eastAsia="宋体"/>
      <w:b/>
      <w:bCs/>
      <w:sz w:val="28"/>
      <w:szCs w:val="32"/>
    </w:rPr>
  </w:style>
  <w:style w:type="character" w:customStyle="1" w:styleId="4Char">
    <w:name w:val="标题 4 Char"/>
    <w:aliases w:val="1.1.1.1 Char"/>
    <w:basedOn w:val="a0"/>
    <w:link w:val="4"/>
    <w:uiPriority w:val="9"/>
    <w:rsid w:val="00894E72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aliases w:val="1.1.1.1.1 Char"/>
    <w:basedOn w:val="a0"/>
    <w:link w:val="5"/>
    <w:uiPriority w:val="9"/>
    <w:rsid w:val="00894E72"/>
    <w:rPr>
      <w:rFonts w:eastAsia="宋体"/>
      <w:b/>
      <w:bCs/>
      <w:sz w:val="24"/>
      <w:szCs w:val="28"/>
    </w:rPr>
  </w:style>
  <w:style w:type="character" w:customStyle="1" w:styleId="6Char">
    <w:name w:val="标题 6 Char"/>
    <w:aliases w:val="1.1.1.1.1.1 Char"/>
    <w:basedOn w:val="a0"/>
    <w:link w:val="6"/>
    <w:uiPriority w:val="9"/>
    <w:rsid w:val="00894E7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 Spacing"/>
    <w:link w:val="Char"/>
    <w:uiPriority w:val="1"/>
    <w:rsid w:val="00894E72"/>
    <w:pPr>
      <w:widowControl w:val="0"/>
      <w:jc w:val="both"/>
    </w:pPr>
    <w:rPr>
      <w:rFonts w:ascii="宋体" w:eastAsia="宋体" w:hAnsi="宋体" w:cs="Times New Roman"/>
      <w:color w:val="000000"/>
      <w:sz w:val="18"/>
      <w:szCs w:val="21"/>
    </w:rPr>
  </w:style>
  <w:style w:type="character" w:customStyle="1" w:styleId="Char">
    <w:name w:val="无间隔 Char"/>
    <w:link w:val="a3"/>
    <w:uiPriority w:val="1"/>
    <w:qFormat/>
    <w:locked/>
    <w:rsid w:val="00894E72"/>
    <w:rPr>
      <w:rFonts w:ascii="宋体" w:eastAsia="宋体" w:hAnsi="宋体" w:cs="Times New Roman"/>
      <w:color w:val="000000"/>
      <w:sz w:val="18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9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4E72"/>
    <w:rPr>
      <w:rFonts w:eastAsia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4E7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4E72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2299-38AE-4D66-9BD7-8D59E7E5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2021-02-24T07:32:00Z</cp:lastPrinted>
  <dcterms:created xsi:type="dcterms:W3CDTF">2021-02-24T07:23:00Z</dcterms:created>
  <dcterms:modified xsi:type="dcterms:W3CDTF">2021-02-24T07:34:00Z</dcterms:modified>
</cp:coreProperties>
</file>