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资产报废处置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需求确认书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  <w:jc w:val="center"/>
        </w:trPr>
        <w:tc>
          <w:tcPr>
            <w:tcW w:w="2138" w:type="dxa"/>
            <w:vAlign w:val="center"/>
          </w:tcPr>
          <w:p w14:paraId="0413A5B3">
            <w:pPr>
              <w:pStyle w:val="10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5D1599D2">
            <w:pPr>
              <w:pStyle w:val="10"/>
              <w:spacing w:before="75" w:line="220" w:lineRule="auto"/>
              <w:ind w:firstLine="732" w:firstLineChars="300"/>
              <w:jc w:val="both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驻马店市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中医院2025年固定资产报废处置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138" w:type="dxa"/>
            <w:vAlign w:val="top"/>
          </w:tcPr>
          <w:p w14:paraId="4BA7EDF7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38CC9979">
            <w:pPr>
              <w:pStyle w:val="10"/>
              <w:spacing w:before="75" w:line="220" w:lineRule="auto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7665" w:type="dxa"/>
            <w:vAlign w:val="top"/>
          </w:tcPr>
          <w:p w14:paraId="7D9A5AEC">
            <w:pPr>
              <w:pStyle w:val="10"/>
              <w:spacing w:before="151" w:line="239" w:lineRule="auto"/>
              <w:ind w:left="181" w:right="224" w:firstLine="47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驻马店市中医院拟处置一批报废的固定资产，原值价值为1002.18万元，包括防火门、门禁系统、高清视频监控设备、电脑、彩色超声诊断仪等，现邀请从事具有相关回收资质的回收公司提交报价等相关资料，该批次物品品质、数量、完整程度均以现场实地勘察为准。</w:t>
            </w: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jc w:val="center"/>
        </w:trPr>
        <w:tc>
          <w:tcPr>
            <w:tcW w:w="2138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566ACB">
            <w:pPr>
              <w:pStyle w:val="10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资格资质</w:t>
            </w:r>
            <w:r>
              <w:rPr>
                <w:spacing w:val="1"/>
                <w:sz w:val="32"/>
                <w:szCs w:val="32"/>
              </w:rPr>
              <w:t>要求</w:t>
            </w:r>
          </w:p>
        </w:tc>
        <w:tc>
          <w:tcPr>
            <w:tcW w:w="7665" w:type="dxa"/>
            <w:vAlign w:val="top"/>
          </w:tcPr>
          <w:p w14:paraId="664B70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参与项目的供应商必须是合法注册的公司或组织：</w:t>
            </w:r>
          </w:p>
          <w:p w14:paraId="3D88770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1、具备《中华人民共和国政府采购法》第二十二条规定的条件，具有独立法人资格，并持有有效的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营业执照。</w:t>
            </w:r>
          </w:p>
          <w:p w14:paraId="32FCF55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2、具有履行合同所必须的设备和专业技术能力。</w:t>
            </w:r>
          </w:p>
          <w:p w14:paraId="6ACB742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3、其他专业资质</w:t>
            </w: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：具有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废旧物品回收资质(经营范围含大型医疗设备资产回收、医疗器械回收、废旧物资回收或再生物资回收，资源再生等相关内容)</w:t>
            </w:r>
          </w:p>
          <w:p w14:paraId="6E18B81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  <w:p w14:paraId="06CC17AF">
            <w:pPr>
              <w:pStyle w:val="10"/>
              <w:spacing w:before="131" w:line="242" w:lineRule="auto"/>
              <w:ind w:left="181" w:right="55" w:firstLine="410"/>
              <w:jc w:val="both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jc w:val="center"/>
        </w:trPr>
        <w:tc>
          <w:tcPr>
            <w:tcW w:w="2138" w:type="dxa"/>
            <w:vAlign w:val="top"/>
          </w:tcPr>
          <w:p w14:paraId="47B55660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F6C386">
            <w:pPr>
              <w:pStyle w:val="2"/>
              <w:rPr>
                <w:rFonts w:ascii="Arial"/>
                <w:sz w:val="32"/>
                <w:szCs w:val="32"/>
              </w:rPr>
            </w:pPr>
          </w:p>
          <w:p w14:paraId="09741F64">
            <w:pPr>
              <w:pStyle w:val="4"/>
            </w:pPr>
          </w:p>
          <w:p w14:paraId="07EAAF2F">
            <w:pPr>
              <w:pStyle w:val="10"/>
              <w:spacing w:before="75" w:line="219" w:lineRule="auto"/>
              <w:ind w:left="74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</w:t>
            </w: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、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7665" w:type="dxa"/>
            <w:vAlign w:val="top"/>
          </w:tcPr>
          <w:p w14:paraId="287B32E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1、技术要求</w:t>
            </w: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：</w:t>
            </w:r>
          </w:p>
          <w:p w14:paraId="48C1A70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参与回收的单位对此次报废的相关</w:t>
            </w: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，必须严格按照国家相关法律法规要求进行处置，不得以任何方式私自利用和外泄信息，违规处置所造成的各类纠纷或事故，中标单位负完全法律责任。</w:t>
            </w:r>
          </w:p>
          <w:p w14:paraId="5F50FE1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中标单位须在缴款后</w:t>
            </w:r>
            <w:r>
              <w:rPr>
                <w:rFonts w:hint="eastAsia" w:cs="宋体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10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天内搬运走报废处置物品并清理现场，现场清理拆除、搬运产生的费用由中标单位自行承担。</w:t>
            </w:r>
          </w:p>
          <w:p w14:paraId="06099F2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拆除、搬运时需遵照我院工作人员的安排，不得损坏院内其它设备设施，如有损坏须按价赔偿。</w:t>
            </w:r>
          </w:p>
          <w:p w14:paraId="5802D35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2、商务要求</w:t>
            </w: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竞价成交后，买受人须于成交之日起</w:t>
            </w:r>
            <w:r>
              <w:rPr>
                <w:rFonts w:hint="eastAsia" w:cs="宋体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日内，</w:t>
            </w: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向我院财务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全额付清</w:t>
            </w:r>
            <w:r>
              <w:rPr>
                <w:rFonts w:hint="eastAsia" w:cs="宋体"/>
                <w:color w:val="FF0000"/>
                <w:sz w:val="24"/>
                <w:szCs w:val="24"/>
                <w:lang w:val="en-US" w:eastAsia="zh-CN"/>
              </w:rPr>
              <w:t>报废处置残值回收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成交款。</w:t>
            </w:r>
          </w:p>
          <w:p w14:paraId="35D6651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680F5C66">
      <w:pPr>
        <w:pStyle w:val="2"/>
        <w:rPr>
          <w:rFonts w:ascii="Arial"/>
          <w:sz w:val="2"/>
        </w:rPr>
      </w:pPr>
    </w:p>
    <w:p w14:paraId="6E8FB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sectPr>
      <w:pgSz w:w="11910" w:h="16840"/>
      <w:pgMar w:top="405" w:right="625" w:bottom="0" w:left="585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1218192A"/>
    <w:rsid w:val="130378C1"/>
    <w:rsid w:val="16155F88"/>
    <w:rsid w:val="17E937AD"/>
    <w:rsid w:val="2225242F"/>
    <w:rsid w:val="235125A7"/>
    <w:rsid w:val="240F1445"/>
    <w:rsid w:val="2B6814DB"/>
    <w:rsid w:val="329E15DA"/>
    <w:rsid w:val="39CD2AE4"/>
    <w:rsid w:val="3C8D44AB"/>
    <w:rsid w:val="442171A7"/>
    <w:rsid w:val="4D613236"/>
    <w:rsid w:val="54BB1B63"/>
    <w:rsid w:val="563C7E6A"/>
    <w:rsid w:val="5704251F"/>
    <w:rsid w:val="5B9434BE"/>
    <w:rsid w:val="5BEB320A"/>
    <w:rsid w:val="5D064100"/>
    <w:rsid w:val="5E8636AF"/>
    <w:rsid w:val="68830971"/>
    <w:rsid w:val="6D4F64E6"/>
    <w:rsid w:val="6FBF72AC"/>
    <w:rsid w:val="70711C0A"/>
    <w:rsid w:val="73983492"/>
    <w:rsid w:val="7961380D"/>
    <w:rsid w:val="7C6B04AB"/>
    <w:rsid w:val="7E055CF5"/>
    <w:rsid w:val="7ED441F5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99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0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Body Text 2"/>
    <w:basedOn w:val="1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778</Words>
  <Characters>794</Characters>
  <Lines>0</Lines>
  <Paragraphs>0</Paragraphs>
  <TotalTime>80</TotalTime>
  <ScaleCrop>false</ScaleCrop>
  <LinksUpToDate>false</LinksUpToDate>
  <CharactersWithSpaces>948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2025-06-16T00:43:00Z</cp:lastPrinted>
  <dcterms:modified xsi:type="dcterms:W3CDTF">2025-06-21T01:01:45Z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2052-12.1.0.21171</vt:lpwstr>
  </property>
  <property fmtid="{D5CDD505-2E9C-101B-9397-08002B2CF9AE}" pid="6" name="ICV">
    <vt:lpwstr>0B9AAD397BFE4AD29A75D49126677C7B_13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