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rPr>
          <w:rFonts w:hint="default" w:eastAsia="黑体"/>
          <w:lang w:val="en-US" w:eastAsia="zh-CN"/>
        </w:rP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w:t>
      </w:r>
      <w:r>
        <w:rPr>
          <w:rFonts w:hint="eastAsia" w:ascii="黑体" w:hAnsi="宋体" w:eastAsia="黑体" w:cs="黑体"/>
          <w:color w:val="000000"/>
          <w:sz w:val="35"/>
          <w:szCs w:val="35"/>
          <w:lang w:val="en-US" w:eastAsia="zh-CN"/>
        </w:rPr>
        <w:t>需求确认书</w:t>
      </w:r>
    </w:p>
    <w:p w14:paraId="207E4EE3">
      <w:pPr>
        <w:spacing w:line="215" w:lineRule="exact"/>
      </w:pPr>
    </w:p>
    <w:p w14:paraId="5A96E3C5">
      <w:pPr>
        <w:spacing w:line="215" w:lineRule="exact"/>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138" w:type="dxa"/>
            <w:vAlign w:val="center"/>
          </w:tcPr>
          <w:p w14:paraId="0413A5B3">
            <w:pPr>
              <w:pStyle w:val="10"/>
              <w:spacing w:before="75" w:line="220" w:lineRule="auto"/>
              <w:jc w:val="center"/>
              <w:rPr>
                <w:sz w:val="32"/>
                <w:szCs w:val="32"/>
              </w:rPr>
            </w:pPr>
            <w:r>
              <w:rPr>
                <w:spacing w:val="2"/>
                <w:sz w:val="32"/>
                <w:szCs w:val="32"/>
              </w:rPr>
              <w:t>项目名称</w:t>
            </w:r>
          </w:p>
        </w:tc>
        <w:tc>
          <w:tcPr>
            <w:tcW w:w="7665" w:type="dxa"/>
            <w:vAlign w:val="center"/>
          </w:tcPr>
          <w:p w14:paraId="5D1599D2">
            <w:pPr>
              <w:pStyle w:val="10"/>
              <w:spacing w:before="75" w:line="220" w:lineRule="auto"/>
              <w:jc w:val="center"/>
              <w:rPr>
                <w:rFonts w:hint="eastAsia" w:ascii="宋体" w:hAnsi="宋体" w:eastAsia="宋体" w:cs="宋体"/>
                <w:spacing w:val="2"/>
                <w:sz w:val="24"/>
                <w:szCs w:val="24"/>
              </w:rPr>
            </w:pPr>
            <w:r>
              <w:rPr>
                <w:rFonts w:hint="eastAsia" w:ascii="宋体" w:hAnsi="宋体" w:eastAsia="宋体" w:cs="宋体"/>
                <w:sz w:val="28"/>
                <w:szCs w:val="28"/>
                <w:lang w:val="en-US" w:eastAsia="zh-CN"/>
              </w:rPr>
              <w:t>驻马店市中医院共享充电宝投放服务</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2138" w:type="dxa"/>
            <w:vAlign w:val="center"/>
          </w:tcPr>
          <w:p w14:paraId="38CC9979">
            <w:pPr>
              <w:pStyle w:val="10"/>
              <w:spacing w:before="75" w:line="220" w:lineRule="auto"/>
              <w:jc w:val="both"/>
              <w:rPr>
                <w:rFonts w:hint="eastAsia" w:eastAsia="宋体"/>
                <w:sz w:val="32"/>
                <w:szCs w:val="32"/>
                <w:lang w:val="en-US" w:eastAsia="zh-CN"/>
              </w:rPr>
            </w:pPr>
            <w:r>
              <w:rPr>
                <w:rFonts w:hint="eastAsia"/>
                <w:sz w:val="32"/>
                <w:szCs w:val="32"/>
                <w:lang w:val="en-US" w:eastAsia="zh-CN"/>
              </w:rPr>
              <w:t>一</w:t>
            </w:r>
            <w:r>
              <w:rPr>
                <w:sz w:val="32"/>
                <w:szCs w:val="32"/>
              </w:rPr>
              <w:t>、项目需求</w:t>
            </w:r>
            <w:r>
              <w:rPr>
                <w:rFonts w:hint="eastAsia"/>
                <w:sz w:val="32"/>
                <w:szCs w:val="32"/>
                <w:lang w:val="en-US" w:eastAsia="zh-CN"/>
              </w:rPr>
              <w:t>概况</w:t>
            </w:r>
          </w:p>
        </w:tc>
        <w:tc>
          <w:tcPr>
            <w:tcW w:w="7665" w:type="dxa"/>
            <w:vAlign w:val="top"/>
          </w:tcPr>
          <w:p w14:paraId="7D9A5AEC">
            <w:pPr>
              <w:pStyle w:val="10"/>
              <w:keepNext w:val="0"/>
              <w:keepLines w:val="0"/>
              <w:pageBreakBefore w:val="0"/>
              <w:widowControl/>
              <w:wordWrap/>
              <w:overflowPunct/>
              <w:topLinePunct w:val="0"/>
              <w:bidi w:val="0"/>
              <w:adjustRightInd w:val="0"/>
              <w:snapToGrid w:val="0"/>
              <w:spacing w:line="340" w:lineRule="exact"/>
              <w:ind w:left="0" w:right="0" w:firstLine="479"/>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根据便民服务措施落实需要，我院拟遴选供应商进行共享充电宝投放服务。预计由供应商在儿科病房综合楼一楼至五楼导诊台、急诊科导诊台、南院区康复科病区护士站台各投放1组共享充电宝，合计共7组。</w:t>
            </w: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2138" w:type="dxa"/>
            <w:vAlign w:val="center"/>
          </w:tcPr>
          <w:p w14:paraId="56566ACB">
            <w:pPr>
              <w:pStyle w:val="10"/>
              <w:spacing w:before="75" w:line="219" w:lineRule="auto"/>
              <w:jc w:val="both"/>
              <w:rPr>
                <w:sz w:val="32"/>
                <w:szCs w:val="32"/>
              </w:rPr>
            </w:pPr>
            <w:r>
              <w:rPr>
                <w:spacing w:val="1"/>
                <w:sz w:val="32"/>
                <w:szCs w:val="32"/>
              </w:rPr>
              <w:t>二、</w:t>
            </w:r>
            <w:r>
              <w:rPr>
                <w:rFonts w:hint="eastAsia"/>
                <w:spacing w:val="1"/>
                <w:sz w:val="32"/>
                <w:szCs w:val="32"/>
                <w:lang w:val="en-US" w:eastAsia="zh-CN"/>
              </w:rPr>
              <w:t>资格资质</w:t>
            </w:r>
            <w:r>
              <w:rPr>
                <w:spacing w:val="1"/>
                <w:sz w:val="32"/>
                <w:szCs w:val="32"/>
              </w:rPr>
              <w:t>要求</w:t>
            </w:r>
          </w:p>
        </w:tc>
        <w:tc>
          <w:tcPr>
            <w:tcW w:w="7665" w:type="dxa"/>
            <w:vAlign w:val="top"/>
          </w:tcPr>
          <w:p w14:paraId="664B709F">
            <w:pPr>
              <w:pStyle w:val="10"/>
              <w:keepNext w:val="0"/>
              <w:keepLines w:val="0"/>
              <w:pageBreakBefore w:val="0"/>
              <w:widowControl/>
              <w:wordWrap/>
              <w:overflowPunct/>
              <w:topLinePunct w:val="0"/>
              <w:bidi w:val="0"/>
              <w:adjustRightInd w:val="0"/>
              <w:snapToGrid w:val="0"/>
              <w:spacing w:line="340" w:lineRule="exact"/>
              <w:ind w:left="0" w:right="0" w:firstLine="479"/>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参与项目的供应商必须是合法注册的公司或组织：</w:t>
            </w:r>
          </w:p>
          <w:p w14:paraId="3D88770A">
            <w:pPr>
              <w:pStyle w:val="10"/>
              <w:keepNext w:val="0"/>
              <w:keepLines w:val="0"/>
              <w:pageBreakBefore w:val="0"/>
              <w:widowControl/>
              <w:wordWrap/>
              <w:overflowPunct/>
              <w:topLinePunct w:val="0"/>
              <w:bidi w:val="0"/>
              <w:adjustRightInd w:val="0"/>
              <w:snapToGrid w:val="0"/>
              <w:spacing w:line="340" w:lineRule="exact"/>
              <w:ind w:left="0" w:right="0" w:firstLine="479"/>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1、具备《中华人民共和国政府采购法》第二十二条规定的条件，具有独立法人资格，并持有有效的营业执照。</w:t>
            </w:r>
          </w:p>
          <w:p w14:paraId="32FCF553">
            <w:pPr>
              <w:pStyle w:val="10"/>
              <w:keepNext w:val="0"/>
              <w:keepLines w:val="0"/>
              <w:pageBreakBefore w:val="0"/>
              <w:widowControl/>
              <w:wordWrap/>
              <w:overflowPunct/>
              <w:topLinePunct w:val="0"/>
              <w:bidi w:val="0"/>
              <w:adjustRightInd w:val="0"/>
              <w:snapToGrid w:val="0"/>
              <w:spacing w:line="340" w:lineRule="exact"/>
              <w:ind w:left="0" w:right="0" w:firstLine="479"/>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2、具有履行合同所必须的设备和专业技术能力，以及团队。代理商需提供加盟商业品牌合作的授权书或代理书。</w:t>
            </w:r>
          </w:p>
          <w:p w14:paraId="0B4D489C">
            <w:pPr>
              <w:pStyle w:val="10"/>
              <w:keepNext w:val="0"/>
              <w:keepLines w:val="0"/>
              <w:pageBreakBefore w:val="0"/>
              <w:widowControl/>
              <w:wordWrap/>
              <w:overflowPunct/>
              <w:topLinePunct w:val="0"/>
              <w:bidi w:val="0"/>
              <w:adjustRightInd w:val="0"/>
              <w:snapToGrid w:val="0"/>
              <w:spacing w:line="340" w:lineRule="exact"/>
              <w:ind w:left="0" w:right="0" w:firstLine="479"/>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3、非法人参与投标的，须持有授权文件；本项目不接收联合体投标。</w:t>
            </w:r>
          </w:p>
          <w:p w14:paraId="6E18B81C">
            <w:pPr>
              <w:pStyle w:val="10"/>
              <w:keepNext w:val="0"/>
              <w:keepLines w:val="0"/>
              <w:pageBreakBefore w:val="0"/>
              <w:widowControl/>
              <w:wordWrap/>
              <w:overflowPunct/>
              <w:topLinePunct w:val="0"/>
              <w:bidi w:val="0"/>
              <w:adjustRightInd w:val="0"/>
              <w:snapToGrid w:val="0"/>
              <w:spacing w:line="340" w:lineRule="exact"/>
              <w:ind w:left="0" w:right="0" w:firstLine="479"/>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4、对列入失信被执行人、重大税收违法失信主体、政府采购严重违法失信行为记录名单的供应商，拒绝参与本项目，提供查询记录（“信用中国”及“中国政府采购网”查询记录）</w:t>
            </w:r>
          </w:p>
          <w:p w14:paraId="06CC17AF">
            <w:pPr>
              <w:pStyle w:val="10"/>
              <w:keepNext w:val="0"/>
              <w:keepLines w:val="0"/>
              <w:pageBreakBefore w:val="0"/>
              <w:widowControl/>
              <w:wordWrap/>
              <w:overflowPunct/>
              <w:topLinePunct w:val="0"/>
              <w:bidi w:val="0"/>
              <w:adjustRightInd w:val="0"/>
              <w:snapToGrid w:val="0"/>
              <w:spacing w:line="340" w:lineRule="exact"/>
              <w:ind w:left="0" w:right="0" w:firstLine="410"/>
              <w:jc w:val="both"/>
              <w:rPr>
                <w:rFonts w:hint="eastAsia" w:ascii="宋体" w:hAnsi="宋体" w:eastAsia="宋体" w:cs="宋体"/>
                <w:spacing w:val="-1"/>
                <w:sz w:val="28"/>
                <w:szCs w:val="28"/>
              </w:rPr>
            </w:pPr>
          </w:p>
        </w:tc>
      </w:tr>
      <w:tr w14:paraId="773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9" w:hRule="atLeast"/>
          <w:jc w:val="center"/>
        </w:trPr>
        <w:tc>
          <w:tcPr>
            <w:tcW w:w="2138" w:type="dxa"/>
            <w:vAlign w:val="center"/>
          </w:tcPr>
          <w:p w14:paraId="07EAAF2F">
            <w:pPr>
              <w:pStyle w:val="10"/>
              <w:spacing w:before="75" w:line="219" w:lineRule="auto"/>
              <w:jc w:val="both"/>
              <w:rPr>
                <w:sz w:val="32"/>
                <w:szCs w:val="32"/>
              </w:rPr>
            </w:pPr>
            <w:r>
              <w:rPr>
                <w:rFonts w:hint="eastAsia"/>
                <w:spacing w:val="1"/>
                <w:sz w:val="32"/>
                <w:szCs w:val="32"/>
                <w:lang w:val="en-US" w:eastAsia="zh-CN"/>
              </w:rPr>
              <w:t>三、</w:t>
            </w:r>
            <w:r>
              <w:rPr>
                <w:spacing w:val="1"/>
                <w:sz w:val="32"/>
                <w:szCs w:val="32"/>
              </w:rPr>
              <w:t>项目</w:t>
            </w:r>
            <w:r>
              <w:rPr>
                <w:spacing w:val="-1"/>
                <w:sz w:val="32"/>
                <w:szCs w:val="32"/>
              </w:rPr>
              <w:t>技术参数</w:t>
            </w:r>
            <w:r>
              <w:rPr>
                <w:rFonts w:hint="eastAsia"/>
                <w:spacing w:val="-1"/>
                <w:sz w:val="32"/>
                <w:szCs w:val="32"/>
                <w:lang w:eastAsia="zh-CN"/>
              </w:rPr>
              <w:t>、</w:t>
            </w:r>
            <w:r>
              <w:rPr>
                <w:spacing w:val="1"/>
                <w:sz w:val="32"/>
                <w:szCs w:val="32"/>
              </w:rPr>
              <w:t>商务</w:t>
            </w:r>
            <w:r>
              <w:rPr>
                <w:spacing w:val="-1"/>
                <w:sz w:val="32"/>
                <w:szCs w:val="32"/>
              </w:rPr>
              <w:t>要求</w:t>
            </w:r>
          </w:p>
        </w:tc>
        <w:tc>
          <w:tcPr>
            <w:tcW w:w="7665" w:type="dxa"/>
            <w:vAlign w:val="top"/>
          </w:tcPr>
          <w:p w14:paraId="4E497F5B">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一、服务需求</w:t>
            </w:r>
          </w:p>
          <w:p w14:paraId="0C828C9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1、供应商负责投放共享充电宝，向医院缴纳电费等管理费用。</w:t>
            </w:r>
          </w:p>
          <w:p w14:paraId="3A9F49F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2、投放安装后应定期进行巡查和维护保养所投放的设备，确保设备的正常运行。</w:t>
            </w:r>
          </w:p>
          <w:p w14:paraId="7A02CEA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3、如设备发生故障不能运行，供应商的技术人员将按接到采购人的通知后12小时内赶到现场提供紧急处理服务。</w:t>
            </w:r>
          </w:p>
          <w:p w14:paraId="791A413F">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4、在为采购人服务过程中造成的一切质量、人身、财产、消防等安全事故及其所引起的相关一切经济损失和法律责任，均由供应商独立承担。</w:t>
            </w:r>
          </w:p>
          <w:p w14:paraId="6720464D">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5、服务期间，供应商不得擅自增加或减少点位数量，如需变更点位或数量必须经采购人书面同意后方可增加或减少点位数量。</w:t>
            </w:r>
          </w:p>
          <w:p w14:paraId="0CCD9870">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6、如因供应商原因造成的消费者投诉等相关问题由供应商负责协商解决，与采购人无关。</w:t>
            </w:r>
          </w:p>
          <w:p w14:paraId="1562FEB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二、项目具体要求</w:t>
            </w:r>
          </w:p>
          <w:p w14:paraId="3D1767C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1、技术要求：</w:t>
            </w:r>
          </w:p>
          <w:p w14:paraId="5A18D54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（1）用户押金：根据微信和支付宝信用可提供信用免押金服务。供应商应承诺当租赁人申请押金退还时，同步支付宝或微信的退款规则，零钱或支付宝支付的押金秒退到租赁人账户。</w:t>
            </w:r>
          </w:p>
          <w:p w14:paraId="3A5E73B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（2）提供用户免费使用时长。</w:t>
            </w:r>
          </w:p>
          <w:p w14:paraId="5DD3F8D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（3）手机扫码充电，充满自动断电，租赁人可以在手机上查询充电状态，超出荷载功率自动切断电源并具备漏电保护。</w:t>
            </w:r>
          </w:p>
          <w:p w14:paraId="1195BDF5">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（4）供应商提供的产品设备必须符合国家相关标准和行业标准，必须对产品质量安全责任，由于产品质量或违规经营而引起的任何纠纷，由供应商承担全部法律和经济责任。</w:t>
            </w:r>
          </w:p>
          <w:p w14:paraId="3C65665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5）供应商负责安装，确保所提供设备安全（防火、防电、防水、防雷、卫生、防毒等）和合法，并有效的管理，必要时需更换安全设备。（共享充电宝应具有过放保护、过流保护、过功率保护、过压保护、温度保护、短路保护、电磁场保护等基本功能）</w:t>
            </w:r>
          </w:p>
          <w:p w14:paraId="1A2AC87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（6）确保租赁人在使用充电宝服务时能够得到及时、有效的帮助和支持。同时，加强用户隐私保护和数据安全管理，确保用户信息的安全性和隐私性。</w:t>
            </w:r>
          </w:p>
          <w:p w14:paraId="7A4AAF5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（7）采购人可以通过端口随时查看供应商投放系统收益情况。</w:t>
            </w:r>
          </w:p>
          <w:p w14:paraId="1C84DF70">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2、商务要求：</w:t>
            </w:r>
          </w:p>
          <w:p w14:paraId="7B80EF77">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80" w:afterAutospacing="0" w:line="340" w:lineRule="exact"/>
              <w:ind w:right="0" w:firstLine="560" w:firstLineChars="200"/>
              <w:jc w:val="left"/>
              <w:textAlignment w:val="auto"/>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（1）服务期限：三年</w:t>
            </w:r>
          </w:p>
          <w:p w14:paraId="78622C09">
            <w:pPr>
              <w:pStyle w:val="2"/>
              <w:keepNext w:val="0"/>
              <w:keepLines w:val="0"/>
              <w:pageBreakBefore w:val="0"/>
              <w:widowControl/>
              <w:wordWrap/>
              <w:overflowPunct/>
              <w:topLinePunct w:val="0"/>
              <w:bidi w:val="0"/>
              <w:adjustRightInd w:val="0"/>
              <w:snapToGrid w:val="0"/>
              <w:spacing w:line="340" w:lineRule="exact"/>
              <w:ind w:right="0" w:firstLine="560" w:firstLineChars="200"/>
              <w:jc w:val="left"/>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lang w:val="en-US" w:eastAsia="zh-CN" w:bidi="ar-SA"/>
              </w:rPr>
              <w:t>（2）中标通知书下发后15日内签订合同，向采购人交纳2000元押金，并进场安装调试完毕。共享充电宝投放使用后，每三个月供应商向采购人交纳一次中标所需的管理费。</w:t>
            </w:r>
          </w:p>
          <w:p w14:paraId="715B2726">
            <w:pPr>
              <w:pStyle w:val="2"/>
              <w:keepNext w:val="0"/>
              <w:keepLines w:val="0"/>
              <w:pageBreakBefore w:val="0"/>
              <w:widowControl/>
              <w:wordWrap/>
              <w:overflowPunct/>
              <w:topLinePunct w:val="0"/>
              <w:bidi w:val="0"/>
              <w:adjustRightInd w:val="0"/>
              <w:snapToGrid w:val="0"/>
              <w:spacing w:line="340" w:lineRule="exact"/>
              <w:ind w:left="0" w:right="0"/>
              <w:jc w:val="left"/>
              <w:rPr>
                <w:rFonts w:hint="eastAsia" w:ascii="宋体" w:hAnsi="宋体" w:eastAsia="宋体" w:cs="宋体"/>
                <w:sz w:val="28"/>
                <w:szCs w:val="28"/>
                <w:lang w:val="en-US" w:eastAsia="zh-CN"/>
              </w:rPr>
            </w:pPr>
          </w:p>
          <w:p w14:paraId="2F716905">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40" w:lineRule="exact"/>
              <w:ind w:left="0" w:right="0" w:rightChars="0"/>
              <w:jc w:val="left"/>
              <w:textAlignment w:val="baseline"/>
              <w:rPr>
                <w:rFonts w:hint="eastAsia" w:ascii="宋体" w:hAnsi="宋体" w:eastAsia="宋体" w:cs="宋体"/>
                <w:sz w:val="28"/>
                <w:szCs w:val="28"/>
                <w:lang w:val="en-US" w:eastAsia="zh-CN"/>
              </w:rPr>
            </w:pPr>
          </w:p>
          <w:p w14:paraId="35D6651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40" w:lineRule="exact"/>
              <w:ind w:left="0" w:right="0" w:rightChars="0"/>
              <w:jc w:val="left"/>
              <w:textAlignment w:val="baseline"/>
              <w:rPr>
                <w:rFonts w:hint="eastAsia" w:ascii="宋体" w:hAnsi="宋体" w:eastAsia="宋体" w:cs="宋体"/>
                <w:color w:val="FF0000"/>
                <w:sz w:val="28"/>
                <w:szCs w:val="28"/>
                <w:lang w:val="en-US" w:eastAsia="zh-CN"/>
              </w:rPr>
            </w:pPr>
          </w:p>
        </w:tc>
      </w:tr>
    </w:tbl>
    <w:p w14:paraId="0FBC5243">
      <w:pPr>
        <w:spacing w:line="14" w:lineRule="auto"/>
        <w:rPr>
          <w:rFonts w:ascii="Arial"/>
          <w:sz w:val="2"/>
        </w:rPr>
      </w:pPr>
    </w:p>
    <w:p w14:paraId="680F5C66">
      <w:pPr>
        <w:pStyle w:val="2"/>
        <w:rPr>
          <w:rFonts w:ascii="Arial"/>
          <w:sz w:val="2"/>
        </w:rPr>
      </w:pPr>
    </w:p>
    <w:p w14:paraId="6E8FB8E5">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left="479" w:leftChars="228" w:firstLine="480" w:firstLineChars="200"/>
        <w:textAlignment w:val="auto"/>
        <w:rPr>
          <w:rFonts w:hint="default" w:ascii="宋体" w:hAnsi="宋体" w:eastAsia="宋体" w:cs="宋体"/>
          <w:snapToGrid w:val="0"/>
          <w:color w:val="auto"/>
          <w:kern w:val="0"/>
          <w:sz w:val="24"/>
          <w:szCs w:val="24"/>
          <w:lang w:val="en-US" w:eastAsia="zh-CN" w:bidi="ar-SA"/>
        </w:rPr>
      </w:pPr>
      <w:bookmarkStart w:id="0" w:name="_GoBack"/>
      <w:bookmarkEnd w:id="0"/>
    </w:p>
    <w:sectPr>
      <w:pgSz w:w="11910" w:h="16840"/>
      <w:pgMar w:top="856" w:right="850" w:bottom="850" w:left="81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NjYjJiZTQzMWZkYzkzMDY4MGMwODg2MmJjNWNiMjQifQ=="/>
  </w:docVars>
  <w:rsids>
    <w:rsidRoot w:val="00000000"/>
    <w:rsid w:val="1218192A"/>
    <w:rsid w:val="130378C1"/>
    <w:rsid w:val="16155F88"/>
    <w:rsid w:val="2225242F"/>
    <w:rsid w:val="32747264"/>
    <w:rsid w:val="3C8D44AB"/>
    <w:rsid w:val="408B5AAA"/>
    <w:rsid w:val="442171A7"/>
    <w:rsid w:val="460E5F78"/>
    <w:rsid w:val="4B6C07C7"/>
    <w:rsid w:val="4D613236"/>
    <w:rsid w:val="50AC638D"/>
    <w:rsid w:val="54BB1B63"/>
    <w:rsid w:val="5B9434BE"/>
    <w:rsid w:val="5D064100"/>
    <w:rsid w:val="5E8636AF"/>
    <w:rsid w:val="675C2272"/>
    <w:rsid w:val="68830971"/>
    <w:rsid w:val="6D4F64E6"/>
    <w:rsid w:val="6FBF72AC"/>
    <w:rsid w:val="73983492"/>
    <w:rsid w:val="777320AF"/>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Body Text Indent 2"/>
    <w:basedOn w:val="1"/>
    <w:qFormat/>
    <w:uiPriority w:val="0"/>
    <w:pPr>
      <w:spacing w:after="120" w:afterLines="0" w:line="480" w:lineRule="auto"/>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1309</Words>
  <Characters>1314</Characters>
  <TotalTime>55</TotalTime>
  <ScaleCrop>false</ScaleCrop>
  <LinksUpToDate>false</LinksUpToDate>
  <CharactersWithSpaces>1468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2024-04-19T00:07:00Z</cp:lastPrinted>
  <dcterms:modified xsi:type="dcterms:W3CDTF">2025-06-23T00:43:55Z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2052-12.1.0.21171</vt:lpwstr>
  </property>
  <property fmtid="{D5CDD505-2E9C-101B-9397-08002B2CF9AE}" pid="6" name="ICV">
    <vt:lpwstr>93787C8D1E82422D933FA06FF8A1B82B_13</vt:lpwstr>
  </property>
  <property fmtid="{D5CDD505-2E9C-101B-9397-08002B2CF9AE}" pid="7" name="KSOTemplateDocerSaveRecord">
    <vt:lpwstr>eyJoZGlkIjoiMTEyNGU5MjFiZWU2ZTkyMTZhZDU5NDk5ZTg5NzZkMzciLCJ1c2VySWQiOiIxMTM3NDM2MzI0In0=</vt:lpwstr>
  </property>
</Properties>
</file>