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83E8A6">
      <w:pPr>
        <w:spacing w:line="215" w:lineRule="exact"/>
      </w:pPr>
    </w:p>
    <w:p w14:paraId="095FFCC1">
      <w:pPr>
        <w:spacing w:line="215" w:lineRule="exact"/>
      </w:pPr>
    </w:p>
    <w:p w14:paraId="533304D2">
      <w:pPr>
        <w:pStyle w:val="8"/>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113" w:beforeAutospacing="0" w:after="0" w:afterAutospacing="0" w:line="220" w:lineRule="auto"/>
        <w:ind w:right="0"/>
        <w:jc w:val="center"/>
        <w:rPr>
          <w:rFonts w:hint="default" w:eastAsia="黑体"/>
          <w:lang w:val="en-US" w:eastAsia="zh-CN"/>
        </w:rPr>
      </w:pPr>
      <w:r>
        <w:rPr>
          <w:rFonts w:ascii="黑体" w:hAnsi="宋体" w:eastAsia="黑体" w:cs="黑体"/>
          <w:color w:val="000000"/>
          <w:sz w:val="35"/>
          <w:szCs w:val="35"/>
        </w:rPr>
        <w:t>驻马店市中医院</w:t>
      </w:r>
      <w:r>
        <w:rPr>
          <w:rFonts w:hint="eastAsia" w:ascii="黑体" w:hAnsi="宋体" w:eastAsia="黑体" w:cs="黑体"/>
          <w:color w:val="000000"/>
          <w:sz w:val="35"/>
          <w:szCs w:val="35"/>
          <w:lang w:val="en-US" w:eastAsia="zh-CN"/>
        </w:rPr>
        <w:t>采购</w:t>
      </w:r>
      <w:r>
        <w:rPr>
          <w:rFonts w:hint="eastAsia" w:ascii="黑体" w:hAnsi="宋体" w:eastAsia="黑体" w:cs="黑体"/>
          <w:color w:val="000000"/>
          <w:sz w:val="35"/>
          <w:szCs w:val="35"/>
        </w:rPr>
        <w:t>项目</w:t>
      </w:r>
    </w:p>
    <w:p w14:paraId="207E4EE3">
      <w:pPr>
        <w:spacing w:line="215" w:lineRule="exact"/>
      </w:pPr>
    </w:p>
    <w:p w14:paraId="5A96E3C5">
      <w:pPr>
        <w:spacing w:line="215" w:lineRule="exact"/>
      </w:pPr>
    </w:p>
    <w:tbl>
      <w:tblPr>
        <w:tblStyle w:val="1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38"/>
        <w:gridCol w:w="7665"/>
      </w:tblGrid>
      <w:tr w14:paraId="480AD3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5" w:hRule="atLeast"/>
          <w:jc w:val="center"/>
        </w:trPr>
        <w:tc>
          <w:tcPr>
            <w:tcW w:w="2138" w:type="dxa"/>
            <w:vAlign w:val="center"/>
          </w:tcPr>
          <w:p w14:paraId="0413A5B3">
            <w:pPr>
              <w:pStyle w:val="13"/>
              <w:spacing w:before="75" w:line="220" w:lineRule="auto"/>
              <w:jc w:val="both"/>
              <w:rPr>
                <w:sz w:val="32"/>
                <w:szCs w:val="32"/>
              </w:rPr>
            </w:pPr>
            <w:r>
              <w:rPr>
                <w:spacing w:val="2"/>
                <w:sz w:val="32"/>
                <w:szCs w:val="32"/>
              </w:rPr>
              <w:t>项目名称</w:t>
            </w:r>
          </w:p>
        </w:tc>
        <w:tc>
          <w:tcPr>
            <w:tcW w:w="7665" w:type="dxa"/>
            <w:vAlign w:val="center"/>
          </w:tcPr>
          <w:p w14:paraId="5D1599D2">
            <w:pPr>
              <w:pStyle w:val="13"/>
              <w:spacing w:before="75" w:line="220" w:lineRule="auto"/>
              <w:ind w:firstLine="732" w:firstLineChars="300"/>
              <w:jc w:val="both"/>
              <w:rPr>
                <w:rFonts w:hint="eastAsia" w:ascii="宋体" w:hAnsi="宋体" w:eastAsia="宋体" w:cs="宋体"/>
                <w:spacing w:val="2"/>
                <w:sz w:val="24"/>
                <w:szCs w:val="24"/>
              </w:rPr>
            </w:pPr>
            <w:r>
              <w:rPr>
                <w:rFonts w:hint="eastAsia" w:ascii="宋体" w:hAnsi="宋体" w:eastAsia="宋体" w:cs="宋体"/>
                <w:spacing w:val="2"/>
                <w:sz w:val="24"/>
                <w:szCs w:val="24"/>
              </w:rPr>
              <w:t>驻马店市</w:t>
            </w:r>
            <w:r>
              <w:rPr>
                <w:rFonts w:hint="eastAsia" w:cs="宋体"/>
                <w:spacing w:val="2"/>
                <w:sz w:val="24"/>
                <w:szCs w:val="24"/>
                <w:lang w:val="en-US" w:eastAsia="zh-CN"/>
              </w:rPr>
              <w:t>中医院消防自动报警系统维护保养</w:t>
            </w:r>
            <w:r>
              <w:rPr>
                <w:rFonts w:hint="eastAsia" w:ascii="宋体" w:hAnsi="宋体" w:eastAsia="宋体" w:cs="宋体"/>
                <w:spacing w:val="2"/>
                <w:sz w:val="24"/>
                <w:szCs w:val="24"/>
              </w:rPr>
              <w:t>采购项目</w:t>
            </w:r>
          </w:p>
        </w:tc>
      </w:tr>
      <w:tr w14:paraId="40AA47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9" w:hRule="atLeast"/>
          <w:jc w:val="center"/>
        </w:trPr>
        <w:tc>
          <w:tcPr>
            <w:tcW w:w="2138" w:type="dxa"/>
            <w:vAlign w:val="top"/>
          </w:tcPr>
          <w:p w14:paraId="4BA7EDF7">
            <w:pPr>
              <w:spacing w:line="261" w:lineRule="auto"/>
              <w:jc w:val="both"/>
              <w:rPr>
                <w:rFonts w:ascii="Arial"/>
                <w:sz w:val="32"/>
                <w:szCs w:val="32"/>
              </w:rPr>
            </w:pPr>
          </w:p>
          <w:p w14:paraId="5F49BC05">
            <w:pPr>
              <w:pStyle w:val="13"/>
              <w:spacing w:before="75" w:line="220" w:lineRule="auto"/>
              <w:jc w:val="both"/>
              <w:rPr>
                <w:sz w:val="32"/>
                <w:szCs w:val="32"/>
              </w:rPr>
            </w:pPr>
            <w:r>
              <w:rPr>
                <w:rFonts w:hint="eastAsia"/>
                <w:sz w:val="32"/>
                <w:szCs w:val="32"/>
                <w:lang w:val="en-US" w:eastAsia="zh-CN"/>
              </w:rPr>
              <w:t>一</w:t>
            </w:r>
            <w:r>
              <w:rPr>
                <w:sz w:val="32"/>
                <w:szCs w:val="32"/>
              </w:rPr>
              <w:t>、</w:t>
            </w:r>
          </w:p>
          <w:p w14:paraId="38CC9979">
            <w:pPr>
              <w:pStyle w:val="13"/>
              <w:spacing w:before="75" w:line="220" w:lineRule="auto"/>
              <w:jc w:val="both"/>
              <w:rPr>
                <w:rFonts w:hint="eastAsia" w:eastAsia="宋体"/>
                <w:sz w:val="32"/>
                <w:szCs w:val="32"/>
                <w:lang w:val="en-US" w:eastAsia="zh-CN"/>
              </w:rPr>
            </w:pPr>
            <w:r>
              <w:rPr>
                <w:sz w:val="32"/>
                <w:szCs w:val="32"/>
              </w:rPr>
              <w:t>项目需求</w:t>
            </w:r>
            <w:r>
              <w:rPr>
                <w:rFonts w:hint="eastAsia"/>
                <w:sz w:val="32"/>
                <w:szCs w:val="32"/>
                <w:lang w:val="en-US" w:eastAsia="zh-CN"/>
              </w:rPr>
              <w:t>概况</w:t>
            </w:r>
          </w:p>
        </w:tc>
        <w:tc>
          <w:tcPr>
            <w:tcW w:w="7665" w:type="dxa"/>
            <w:vAlign w:val="top"/>
          </w:tcPr>
          <w:p w14:paraId="7D9A5AEC">
            <w:pPr>
              <w:pStyle w:val="13"/>
              <w:spacing w:before="151" w:line="239" w:lineRule="auto"/>
              <w:ind w:left="181" w:right="224" w:firstLine="479"/>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服务范围：负责医院消防设施设备及消防系统维保、维修技术服务，共分为9个系统：火灾自动报警/消防联动系统;消防广播系统；消防电话系统；防火卷帘系统；防排烟系统；室内外消防栓系统；自动喷淋灭火系统；水泵、控制柜、联动柜；消防应急照明和疏散指示系统。</w:t>
            </w:r>
          </w:p>
        </w:tc>
      </w:tr>
      <w:tr w14:paraId="714033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79" w:hRule="atLeast"/>
          <w:jc w:val="center"/>
        </w:trPr>
        <w:tc>
          <w:tcPr>
            <w:tcW w:w="2138" w:type="dxa"/>
            <w:vAlign w:val="top"/>
          </w:tcPr>
          <w:p w14:paraId="6CF3B3CB">
            <w:pPr>
              <w:spacing w:line="366" w:lineRule="auto"/>
              <w:jc w:val="both"/>
              <w:rPr>
                <w:rFonts w:ascii="Arial"/>
                <w:sz w:val="32"/>
                <w:szCs w:val="32"/>
              </w:rPr>
            </w:pPr>
          </w:p>
          <w:p w14:paraId="1EA291D0">
            <w:pPr>
              <w:pStyle w:val="13"/>
              <w:spacing w:before="75" w:line="219" w:lineRule="auto"/>
              <w:jc w:val="both"/>
              <w:rPr>
                <w:spacing w:val="1"/>
                <w:sz w:val="32"/>
                <w:szCs w:val="32"/>
              </w:rPr>
            </w:pPr>
            <w:r>
              <w:rPr>
                <w:spacing w:val="1"/>
                <w:sz w:val="32"/>
                <w:szCs w:val="32"/>
              </w:rPr>
              <w:t>二、</w:t>
            </w:r>
          </w:p>
          <w:p w14:paraId="56566ACB">
            <w:pPr>
              <w:pStyle w:val="13"/>
              <w:spacing w:before="75" w:line="219" w:lineRule="auto"/>
              <w:jc w:val="both"/>
              <w:rPr>
                <w:sz w:val="32"/>
                <w:szCs w:val="32"/>
              </w:rPr>
            </w:pPr>
            <w:r>
              <w:rPr>
                <w:rFonts w:hint="eastAsia"/>
                <w:spacing w:val="1"/>
                <w:sz w:val="32"/>
                <w:szCs w:val="32"/>
                <w:lang w:val="en-US" w:eastAsia="zh-CN"/>
              </w:rPr>
              <w:t>资格资质</w:t>
            </w:r>
            <w:r>
              <w:rPr>
                <w:spacing w:val="1"/>
                <w:sz w:val="32"/>
                <w:szCs w:val="32"/>
              </w:rPr>
              <w:t>要求</w:t>
            </w:r>
          </w:p>
        </w:tc>
        <w:tc>
          <w:tcPr>
            <w:tcW w:w="7665" w:type="dxa"/>
            <w:vAlign w:val="top"/>
          </w:tcPr>
          <w:p w14:paraId="664B709F">
            <w:pPr>
              <w:pStyle w:val="13"/>
              <w:keepNext w:val="0"/>
              <w:keepLines w:val="0"/>
              <w:pageBreakBefore w:val="0"/>
              <w:widowControl/>
              <w:numPr>
                <w:ilvl w:val="0"/>
                <w:numId w:val="0"/>
              </w:numPr>
              <w:kinsoku w:val="0"/>
              <w:wordWrap/>
              <w:overflowPunct/>
              <w:topLinePunct w:val="0"/>
              <w:autoSpaceDE w:val="0"/>
              <w:autoSpaceDN w:val="0"/>
              <w:bidi w:val="0"/>
              <w:adjustRightInd w:val="0"/>
              <w:snapToGrid w:val="0"/>
              <w:spacing w:before="36" w:line="400" w:lineRule="exact"/>
              <w:ind w:right="139" w:rightChars="0" w:firstLine="480" w:firstLineChars="200"/>
              <w:jc w:val="both"/>
              <w:textAlignment w:val="baseline"/>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参与项目的供应商必须是合法注册的公司或组织：</w:t>
            </w:r>
          </w:p>
          <w:p w14:paraId="10379463">
            <w:pPr>
              <w:pStyle w:val="13"/>
              <w:keepNext w:val="0"/>
              <w:keepLines w:val="0"/>
              <w:pageBreakBefore w:val="0"/>
              <w:widowControl/>
              <w:numPr>
                <w:ilvl w:val="0"/>
                <w:numId w:val="1"/>
              </w:numPr>
              <w:kinsoku w:val="0"/>
              <w:wordWrap/>
              <w:overflowPunct/>
              <w:topLinePunct w:val="0"/>
              <w:autoSpaceDE w:val="0"/>
              <w:autoSpaceDN w:val="0"/>
              <w:bidi w:val="0"/>
              <w:adjustRightInd w:val="0"/>
              <w:snapToGrid w:val="0"/>
              <w:spacing w:before="36" w:line="400" w:lineRule="exact"/>
              <w:ind w:right="139" w:rightChars="0"/>
              <w:jc w:val="both"/>
              <w:textAlignment w:val="baseline"/>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具备《中华人民共和国政府采购法》第二十二条规定的条件，具有独立法人资格，并持有有效的营业执照。</w:t>
            </w:r>
          </w:p>
          <w:p w14:paraId="3D88770A">
            <w:pPr>
              <w:pStyle w:val="13"/>
              <w:keepNext w:val="0"/>
              <w:keepLines w:val="0"/>
              <w:pageBreakBefore w:val="0"/>
              <w:widowControl/>
              <w:numPr>
                <w:ilvl w:val="0"/>
                <w:numId w:val="1"/>
              </w:numPr>
              <w:kinsoku w:val="0"/>
              <w:wordWrap/>
              <w:overflowPunct/>
              <w:topLinePunct w:val="0"/>
              <w:autoSpaceDE w:val="0"/>
              <w:autoSpaceDN w:val="0"/>
              <w:bidi w:val="0"/>
              <w:adjustRightInd w:val="0"/>
              <w:snapToGrid w:val="0"/>
              <w:spacing w:before="36" w:line="400" w:lineRule="exact"/>
              <w:ind w:right="139" w:rightChars="0"/>
              <w:jc w:val="both"/>
              <w:textAlignment w:val="baseline"/>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供应商应提供202</w:t>
            </w:r>
            <w:r>
              <w:rPr>
                <w:rFonts w:hint="eastAsia" w:cs="宋体"/>
                <w:color w:val="auto"/>
                <w:sz w:val="24"/>
                <w:szCs w:val="24"/>
                <w:lang w:val="en-US" w:eastAsia="zh-CN"/>
              </w:rPr>
              <w:t>4</w:t>
            </w:r>
            <w:r>
              <w:rPr>
                <w:rFonts w:hint="eastAsia" w:ascii="宋体" w:hAnsi="宋体" w:eastAsia="宋体" w:cs="宋体"/>
                <w:color w:val="auto"/>
                <w:sz w:val="24"/>
                <w:szCs w:val="24"/>
                <w:lang w:val="en-US" w:eastAsia="zh-CN"/>
              </w:rPr>
              <w:t>年或202</w:t>
            </w:r>
            <w:r>
              <w:rPr>
                <w:rFonts w:hint="eastAsia" w:cs="宋体"/>
                <w:color w:val="auto"/>
                <w:sz w:val="24"/>
                <w:szCs w:val="24"/>
                <w:lang w:val="en-US" w:eastAsia="zh-CN"/>
              </w:rPr>
              <w:t>5</w:t>
            </w:r>
            <w:r>
              <w:rPr>
                <w:rFonts w:hint="eastAsia" w:ascii="宋体" w:hAnsi="宋体" w:eastAsia="宋体" w:cs="宋体"/>
                <w:color w:val="auto"/>
                <w:sz w:val="24"/>
                <w:szCs w:val="24"/>
                <w:lang w:val="en-US" w:eastAsia="zh-CN"/>
              </w:rPr>
              <w:t>年度经审计的财务报告或者其基本开户银行出具的资信证明；采购活动近六个月任意一个月的依法缴纳税收的凭据和缴纳社会保险的凭据；依法免税或不需要缴纳社会保障资金的供应商，应提供相应文件证明其依法免税或不需要缴纳社会保障资金。（新成立企业从成立之日起计算）；</w:t>
            </w:r>
          </w:p>
          <w:p w14:paraId="32FCF553">
            <w:pPr>
              <w:pStyle w:val="13"/>
              <w:keepNext w:val="0"/>
              <w:keepLines w:val="0"/>
              <w:pageBreakBefore w:val="0"/>
              <w:widowControl/>
              <w:numPr>
                <w:ilvl w:val="0"/>
                <w:numId w:val="0"/>
              </w:numPr>
              <w:kinsoku w:val="0"/>
              <w:wordWrap/>
              <w:overflowPunct/>
              <w:topLinePunct w:val="0"/>
              <w:autoSpaceDE w:val="0"/>
              <w:autoSpaceDN w:val="0"/>
              <w:bidi w:val="0"/>
              <w:adjustRightInd w:val="0"/>
              <w:snapToGrid w:val="0"/>
              <w:spacing w:before="36" w:line="400" w:lineRule="exact"/>
              <w:ind w:right="139" w:rightChars="0"/>
              <w:jc w:val="both"/>
              <w:textAlignment w:val="baseline"/>
              <w:rPr>
                <w:rFonts w:hint="eastAsia" w:ascii="宋体" w:hAnsi="宋体" w:eastAsia="宋体" w:cs="宋体"/>
                <w:color w:val="auto"/>
                <w:sz w:val="24"/>
                <w:szCs w:val="24"/>
                <w:lang w:val="en-US" w:eastAsia="zh-CN"/>
              </w:rPr>
            </w:pPr>
            <w:r>
              <w:rPr>
                <w:rFonts w:hint="eastAsia" w:cs="宋体"/>
                <w:color w:val="auto"/>
                <w:sz w:val="24"/>
                <w:szCs w:val="24"/>
                <w:lang w:val="en-US" w:eastAsia="zh-CN"/>
              </w:rPr>
              <w:t>3</w:t>
            </w:r>
            <w:r>
              <w:rPr>
                <w:rFonts w:hint="eastAsia" w:ascii="宋体" w:hAnsi="宋体" w:eastAsia="宋体" w:cs="宋体"/>
                <w:color w:val="auto"/>
                <w:sz w:val="24"/>
                <w:szCs w:val="24"/>
                <w:lang w:val="en-US" w:eastAsia="zh-CN"/>
              </w:rPr>
              <w:t>、具有履行合同所必须的设备和专业技术能力。</w:t>
            </w:r>
          </w:p>
          <w:p w14:paraId="4A2B5E26">
            <w:pPr>
              <w:pStyle w:val="13"/>
              <w:keepNext w:val="0"/>
              <w:keepLines w:val="0"/>
              <w:pageBreakBefore w:val="0"/>
              <w:widowControl/>
              <w:numPr>
                <w:ilvl w:val="0"/>
                <w:numId w:val="0"/>
              </w:numPr>
              <w:kinsoku w:val="0"/>
              <w:wordWrap/>
              <w:overflowPunct/>
              <w:topLinePunct w:val="0"/>
              <w:autoSpaceDE w:val="0"/>
              <w:autoSpaceDN w:val="0"/>
              <w:bidi w:val="0"/>
              <w:adjustRightInd w:val="0"/>
              <w:snapToGrid w:val="0"/>
              <w:spacing w:before="36" w:line="400" w:lineRule="exact"/>
              <w:ind w:right="139" w:rightChars="0"/>
              <w:jc w:val="both"/>
              <w:textAlignment w:val="baseline"/>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lang w:val="en-US" w:eastAsia="zh-CN"/>
                <w14:textFill>
                  <w14:solidFill>
                    <w14:schemeClr w14:val="tx1"/>
                  </w14:solidFill>
                </w14:textFill>
              </w:rPr>
              <w:t>、供应商应在社会消防技术服务信息系统（https://shhxf.119.gov.cn）完成登记备案，且服务类型包含消防设施维护保养检测，须提供该网站查询截图；负责人须具有中级消防员维保方向资格；</w:t>
            </w:r>
          </w:p>
          <w:p w14:paraId="5C5CC3DD">
            <w:pPr>
              <w:pStyle w:val="13"/>
              <w:keepNext w:val="0"/>
              <w:keepLines w:val="0"/>
              <w:pageBreakBefore w:val="0"/>
              <w:widowControl/>
              <w:numPr>
                <w:ilvl w:val="0"/>
                <w:numId w:val="0"/>
              </w:numPr>
              <w:kinsoku w:val="0"/>
              <w:wordWrap/>
              <w:overflowPunct/>
              <w:topLinePunct w:val="0"/>
              <w:autoSpaceDE w:val="0"/>
              <w:autoSpaceDN w:val="0"/>
              <w:bidi w:val="0"/>
              <w:adjustRightInd w:val="0"/>
              <w:snapToGrid w:val="0"/>
              <w:spacing w:before="36" w:line="400" w:lineRule="exact"/>
              <w:ind w:right="139" w:rightChars="0"/>
              <w:jc w:val="both"/>
              <w:textAlignment w:val="baseline"/>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lang w:val="en-US" w:eastAsia="zh-CN"/>
                <w14:textFill>
                  <w14:solidFill>
                    <w14:schemeClr w14:val="tx1"/>
                  </w14:solidFill>
                </w14:textFill>
              </w:rPr>
              <w:t>、供应商应具备消防设施工程专业承包二级或二级以上企业资质，同时应具备安全生产许可证，拟派驻负责人须具有中级消防员维保方向资格；</w:t>
            </w:r>
          </w:p>
          <w:p w14:paraId="6E18B81C">
            <w:pPr>
              <w:pStyle w:val="13"/>
              <w:keepNext w:val="0"/>
              <w:keepLines w:val="0"/>
              <w:pageBreakBefore w:val="0"/>
              <w:widowControl/>
              <w:numPr>
                <w:ilvl w:val="0"/>
                <w:numId w:val="0"/>
              </w:numPr>
              <w:kinsoku w:val="0"/>
              <w:wordWrap/>
              <w:overflowPunct/>
              <w:topLinePunct w:val="0"/>
              <w:autoSpaceDE w:val="0"/>
              <w:autoSpaceDN w:val="0"/>
              <w:bidi w:val="0"/>
              <w:adjustRightInd w:val="0"/>
              <w:snapToGrid w:val="0"/>
              <w:spacing w:before="36" w:line="400" w:lineRule="exact"/>
              <w:ind w:right="139" w:rightChars="0"/>
              <w:jc w:val="both"/>
              <w:textAlignment w:val="baseline"/>
              <w:rPr>
                <w:rFonts w:hint="eastAsia" w:ascii="宋体" w:hAnsi="宋体" w:eastAsia="宋体" w:cs="宋体"/>
                <w:color w:val="auto"/>
                <w:sz w:val="24"/>
                <w:szCs w:val="24"/>
                <w:lang w:val="en-US" w:eastAsia="zh-CN"/>
              </w:rPr>
            </w:pPr>
            <w:r>
              <w:rPr>
                <w:rFonts w:hint="eastAsia" w:cs="宋体"/>
                <w:color w:val="auto"/>
                <w:sz w:val="24"/>
                <w:szCs w:val="24"/>
                <w:lang w:val="en-US" w:eastAsia="zh-CN"/>
              </w:rPr>
              <w:t>6</w:t>
            </w:r>
            <w:r>
              <w:rPr>
                <w:rFonts w:hint="eastAsia" w:ascii="宋体" w:hAnsi="宋体" w:eastAsia="宋体" w:cs="宋体"/>
                <w:color w:val="auto"/>
                <w:sz w:val="24"/>
                <w:szCs w:val="24"/>
                <w:lang w:val="en-US" w:eastAsia="zh-CN"/>
              </w:rPr>
              <w:t>、对列入失信被执行人、重大税收违法失信主体、政府采购严重违法失信行为记录名单的供应商，拒绝参与本项目，提供查询记录（“信用中国”及“中国政府采购网”查询记录）</w:t>
            </w:r>
          </w:p>
          <w:p w14:paraId="1EF4B352">
            <w:pPr>
              <w:pStyle w:val="13"/>
              <w:spacing w:before="131" w:line="242" w:lineRule="auto"/>
              <w:ind w:right="55"/>
              <w:jc w:val="both"/>
              <w:rPr>
                <w:rFonts w:hint="eastAsia" w:ascii="宋体" w:hAnsi="宋体" w:eastAsia="宋体" w:cs="宋体"/>
                <w:spacing w:val="-1"/>
                <w:sz w:val="24"/>
                <w:szCs w:val="24"/>
                <w:lang w:val="en-US" w:eastAsia="zh-CN"/>
              </w:rPr>
            </w:pPr>
            <w:r>
              <w:rPr>
                <w:rFonts w:hint="eastAsia" w:cs="宋体"/>
                <w:spacing w:val="-1"/>
                <w:sz w:val="24"/>
                <w:szCs w:val="24"/>
                <w:lang w:val="en-US" w:eastAsia="zh-CN"/>
              </w:rPr>
              <w:t>7</w:t>
            </w:r>
            <w:r>
              <w:rPr>
                <w:rFonts w:hint="eastAsia" w:ascii="宋体" w:hAnsi="宋体" w:eastAsia="宋体" w:cs="宋体"/>
                <w:spacing w:val="-1"/>
                <w:sz w:val="24"/>
                <w:szCs w:val="24"/>
                <w:lang w:val="en-US" w:eastAsia="zh-CN"/>
              </w:rPr>
              <w:t>、单位负责人为同一人或者存在直接控股、管理关系的不同供应商，不得参加同一合同项下的磋商（提供书面声明函）。一经发现，将导致投标同时被拒绝。</w:t>
            </w:r>
          </w:p>
          <w:p w14:paraId="4FFAD123">
            <w:pPr>
              <w:pStyle w:val="13"/>
              <w:spacing w:before="131" w:line="242" w:lineRule="auto"/>
              <w:ind w:right="55"/>
              <w:jc w:val="both"/>
              <w:rPr>
                <w:rFonts w:hint="eastAsia" w:ascii="宋体" w:hAnsi="宋体" w:eastAsia="宋体" w:cs="宋体"/>
                <w:spacing w:val="-1"/>
                <w:sz w:val="24"/>
                <w:szCs w:val="24"/>
                <w:lang w:val="en-US" w:eastAsia="zh-CN"/>
              </w:rPr>
            </w:pPr>
            <w:r>
              <w:rPr>
                <w:rFonts w:hint="eastAsia" w:cs="宋体"/>
                <w:spacing w:val="-1"/>
                <w:sz w:val="24"/>
                <w:szCs w:val="24"/>
                <w:lang w:val="en-US" w:eastAsia="zh-CN"/>
              </w:rPr>
              <w:t>8</w:t>
            </w:r>
            <w:r>
              <w:rPr>
                <w:rFonts w:hint="eastAsia" w:ascii="宋体" w:hAnsi="宋体" w:eastAsia="宋体" w:cs="宋体"/>
                <w:spacing w:val="-1"/>
                <w:sz w:val="24"/>
                <w:szCs w:val="24"/>
                <w:lang w:val="en-US" w:eastAsia="zh-CN"/>
              </w:rPr>
              <w:t>、不接受联合体磋商。</w:t>
            </w:r>
          </w:p>
          <w:p w14:paraId="21F1F024">
            <w:pPr>
              <w:pStyle w:val="13"/>
              <w:spacing w:before="131" w:line="242" w:lineRule="auto"/>
              <w:ind w:left="181" w:right="55" w:firstLine="410"/>
              <w:jc w:val="both"/>
              <w:rPr>
                <w:rFonts w:hint="eastAsia" w:ascii="宋体" w:hAnsi="宋体" w:eastAsia="宋体" w:cs="宋体"/>
                <w:spacing w:val="-1"/>
                <w:sz w:val="24"/>
                <w:szCs w:val="24"/>
              </w:rPr>
            </w:pPr>
          </w:p>
        </w:tc>
      </w:tr>
      <w:tr w14:paraId="773793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9" w:hRule="atLeast"/>
          <w:jc w:val="center"/>
        </w:trPr>
        <w:tc>
          <w:tcPr>
            <w:tcW w:w="2138" w:type="dxa"/>
            <w:vAlign w:val="top"/>
          </w:tcPr>
          <w:p w14:paraId="47B55660">
            <w:pPr>
              <w:spacing w:line="243" w:lineRule="auto"/>
              <w:jc w:val="both"/>
              <w:rPr>
                <w:rFonts w:ascii="Arial"/>
                <w:sz w:val="32"/>
                <w:szCs w:val="32"/>
              </w:rPr>
            </w:pPr>
          </w:p>
          <w:p w14:paraId="56F6C386">
            <w:pPr>
              <w:pStyle w:val="3"/>
              <w:rPr>
                <w:rFonts w:ascii="Arial"/>
                <w:sz w:val="32"/>
                <w:szCs w:val="32"/>
              </w:rPr>
            </w:pPr>
          </w:p>
          <w:p w14:paraId="09741F64">
            <w:pPr>
              <w:pStyle w:val="4"/>
            </w:pPr>
          </w:p>
          <w:p w14:paraId="5E5FA60B">
            <w:pPr>
              <w:pStyle w:val="13"/>
              <w:spacing w:before="75" w:line="219" w:lineRule="auto"/>
              <w:ind w:left="74"/>
              <w:jc w:val="both"/>
              <w:rPr>
                <w:rFonts w:hint="eastAsia"/>
                <w:spacing w:val="1"/>
                <w:sz w:val="32"/>
                <w:szCs w:val="32"/>
                <w:lang w:val="en-US" w:eastAsia="zh-CN"/>
              </w:rPr>
            </w:pPr>
            <w:r>
              <w:rPr>
                <w:rFonts w:hint="eastAsia"/>
                <w:spacing w:val="1"/>
                <w:sz w:val="32"/>
                <w:szCs w:val="32"/>
                <w:lang w:val="en-US" w:eastAsia="zh-CN"/>
              </w:rPr>
              <w:t>三、</w:t>
            </w:r>
          </w:p>
          <w:p w14:paraId="07EAAF2F">
            <w:pPr>
              <w:pStyle w:val="13"/>
              <w:spacing w:before="75" w:line="219" w:lineRule="auto"/>
              <w:ind w:left="74"/>
              <w:jc w:val="both"/>
              <w:rPr>
                <w:rFonts w:hint="eastAsia" w:eastAsia="宋体"/>
                <w:sz w:val="32"/>
                <w:szCs w:val="32"/>
                <w:lang w:val="en-US" w:eastAsia="zh-CN"/>
              </w:rPr>
            </w:pPr>
            <w:r>
              <w:rPr>
                <w:spacing w:val="1"/>
                <w:sz w:val="32"/>
                <w:szCs w:val="32"/>
              </w:rPr>
              <w:t>项目</w:t>
            </w:r>
            <w:r>
              <w:rPr>
                <w:spacing w:val="-1"/>
                <w:sz w:val="32"/>
                <w:szCs w:val="32"/>
              </w:rPr>
              <w:t>技术</w:t>
            </w:r>
            <w:r>
              <w:rPr>
                <w:rFonts w:hint="eastAsia"/>
                <w:spacing w:val="-1"/>
                <w:sz w:val="32"/>
                <w:szCs w:val="32"/>
                <w:lang w:val="en-US" w:eastAsia="zh-CN"/>
              </w:rPr>
              <w:t>要求</w:t>
            </w:r>
          </w:p>
        </w:tc>
        <w:tc>
          <w:tcPr>
            <w:tcW w:w="7665" w:type="dxa"/>
            <w:vAlign w:val="top"/>
          </w:tcPr>
          <w:p w14:paraId="26639A31">
            <w:pPr>
              <w:spacing w:line="360" w:lineRule="auto"/>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snapToGrid w:val="0"/>
                <w:color w:val="auto"/>
                <w:kern w:val="0"/>
                <w:sz w:val="24"/>
                <w:szCs w:val="24"/>
                <w:lang w:val="en-US" w:eastAsia="zh-CN" w:bidi="ar-SA"/>
              </w:rPr>
              <w:t>1 .服务要求</w:t>
            </w:r>
          </w:p>
          <w:p w14:paraId="617476A5">
            <w:pPr>
              <w:spacing w:line="360" w:lineRule="auto"/>
              <w:ind w:firstLine="480" w:firstLineChars="200"/>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snapToGrid w:val="0"/>
                <w:color w:val="auto"/>
                <w:kern w:val="0"/>
                <w:sz w:val="24"/>
                <w:szCs w:val="24"/>
                <w:lang w:val="en-US" w:eastAsia="zh-CN" w:bidi="ar-SA"/>
              </w:rPr>
              <w:t>（1）资质与人员管理：</w:t>
            </w:r>
          </w:p>
          <w:p w14:paraId="5D19EA10">
            <w:pPr>
              <w:spacing w:line="360" w:lineRule="auto"/>
              <w:ind w:firstLine="480" w:firstLineChars="200"/>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snapToGrid w:val="0"/>
                <w:color w:val="auto"/>
                <w:kern w:val="0"/>
                <w:sz w:val="24"/>
                <w:szCs w:val="24"/>
                <w:lang w:val="en-US" w:eastAsia="zh-CN" w:bidi="ar-SA"/>
              </w:rPr>
              <w:t>资质要求：供应商严格遵循《建筑防火通用规范》（GB55037-2022）、《消防设施通用规范》（GB55036-2022）等国家规范开展服务。依法对计量仪器仪表（如测压、测流量设备）和安全阀进行定期校验，并提供有效证明文件。</w:t>
            </w:r>
          </w:p>
          <w:p w14:paraId="44E26B10">
            <w:pPr>
              <w:spacing w:line="360" w:lineRule="auto"/>
              <w:ind w:firstLine="480" w:firstLineChars="200"/>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snapToGrid w:val="0"/>
                <w:color w:val="auto"/>
                <w:kern w:val="0"/>
                <w:sz w:val="24"/>
                <w:szCs w:val="24"/>
                <w:lang w:val="en-US" w:eastAsia="zh-CN" w:bidi="ar-SA"/>
              </w:rPr>
              <w:t>驻场人员配置：供应商所拟派驻场要求固定1人(具备中级消防员维保方向资格)，并且熟悉各系统的操作规程，严格按照国家规范类相关要求进行消防维保、检测技术服务开展。驻场人员要求具有五年以上工作经验。</w:t>
            </w:r>
          </w:p>
          <w:p w14:paraId="7025F583">
            <w:pPr>
              <w:spacing w:line="360" w:lineRule="auto"/>
              <w:ind w:firstLine="480" w:firstLineChars="200"/>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snapToGrid w:val="0"/>
                <w:color w:val="auto"/>
                <w:kern w:val="0"/>
                <w:sz w:val="24"/>
                <w:szCs w:val="24"/>
                <w:lang w:val="en-US" w:eastAsia="zh-CN" w:bidi="ar-SA"/>
              </w:rPr>
              <w:t>培训责任：每月对新进医院人员进行消防系统操作培训，涵盖设备组成、操作流程、应急处理方法等内容。每季度配合医院开展消防知识宣传及实操演练。</w:t>
            </w:r>
          </w:p>
          <w:p w14:paraId="791F2084">
            <w:pPr>
              <w:spacing w:line="360" w:lineRule="auto"/>
              <w:ind w:firstLine="480" w:firstLineChars="200"/>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snapToGrid w:val="0"/>
                <w:color w:val="auto"/>
                <w:kern w:val="0"/>
                <w:sz w:val="24"/>
                <w:szCs w:val="24"/>
                <w:lang w:val="en-US" w:eastAsia="zh-CN" w:bidi="ar-SA"/>
              </w:rPr>
              <w:t>（2）维保实施与质量管理</w:t>
            </w:r>
          </w:p>
          <w:p w14:paraId="454E2E76">
            <w:pPr>
              <w:spacing w:line="360" w:lineRule="auto"/>
              <w:ind w:firstLine="480" w:firstLineChars="200"/>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snapToGrid w:val="0"/>
                <w:color w:val="auto"/>
                <w:kern w:val="0"/>
                <w:sz w:val="24"/>
                <w:szCs w:val="24"/>
                <w:lang w:val="en-US" w:eastAsia="zh-CN" w:bidi="ar-SA"/>
              </w:rPr>
              <w:t>年度计划与日常维保：制定年度维保计划，明确月度、季度、年度巡查维护节点，报医院审批后组织实施。</w:t>
            </w:r>
          </w:p>
          <w:p w14:paraId="7BFD67FC">
            <w:pPr>
              <w:spacing w:line="360" w:lineRule="auto"/>
              <w:ind w:firstLine="480" w:firstLineChars="200"/>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snapToGrid w:val="0"/>
                <w:color w:val="auto"/>
                <w:kern w:val="0"/>
                <w:sz w:val="24"/>
                <w:szCs w:val="24"/>
                <w:lang w:val="en-US" w:eastAsia="zh-CN" w:bidi="ar-SA"/>
              </w:rPr>
              <w:t>维保单位每月、每季度对以下系统进行全面检测：火灾自动报警系统：抽检10%的探测器灵敏度（烟感、温感），清洁探头积尘；自动喷水灭火系统：测试湿式报警阀组水力警铃功能，末端试水装置压力不低于0.05MPa；消火栓系统：手动启泵测试，检查水带、接口密封性及消火栓箱完整性；气体灭火系统：检测储瓶压力（误差≤5%），测试紧急启动按钮功能；防排烟系统：风机手动/自动启动测试，风阀联动响应时间≤30秒；特殊区域（手术室、ICU、药库）设备实行100%全检，禁止抽检。将检测情况上传消防支队。</w:t>
            </w:r>
          </w:p>
          <w:p w14:paraId="7FF7B01E">
            <w:pPr>
              <w:spacing w:line="360" w:lineRule="auto"/>
              <w:ind w:firstLine="480" w:firstLineChars="200"/>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snapToGrid w:val="0"/>
                <w:color w:val="auto"/>
                <w:kern w:val="0"/>
                <w:sz w:val="24"/>
                <w:szCs w:val="24"/>
                <w:lang w:val="en-US" w:eastAsia="zh-CN" w:bidi="ar-SA"/>
              </w:rPr>
              <w:t>技术标准与整改要求：维保质量须符合《建筑消防设施检测技术规程》（XF503-2004）及河南省地方标准，验收合格率≥98%。每月提交《维保工作报告》，列明设备状态、故障整改情况及优化建议。</w:t>
            </w:r>
          </w:p>
          <w:p w14:paraId="73EC03B1">
            <w:pPr>
              <w:spacing w:line="360" w:lineRule="auto"/>
              <w:ind w:firstLine="480" w:firstLineChars="200"/>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snapToGrid w:val="0"/>
                <w:color w:val="auto"/>
                <w:kern w:val="0"/>
                <w:sz w:val="24"/>
                <w:szCs w:val="24"/>
                <w:lang w:val="en-US" w:eastAsia="zh-CN" w:bidi="ar-SA"/>
              </w:rPr>
              <w:t>消防安全评估：每年末出具消防安全评估报告，分析系统运行风险，提出设施升级或管理改进建议。</w:t>
            </w:r>
          </w:p>
          <w:p w14:paraId="53740D76">
            <w:pPr>
              <w:spacing w:line="360" w:lineRule="auto"/>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snapToGrid w:val="0"/>
                <w:color w:val="auto"/>
                <w:kern w:val="0"/>
                <w:sz w:val="24"/>
                <w:szCs w:val="24"/>
                <w:lang w:val="en-US" w:eastAsia="zh-CN" w:bidi="ar-SA"/>
              </w:rPr>
              <w:t>（3）应急响应与协作机制</w:t>
            </w:r>
          </w:p>
          <w:p w14:paraId="51E4DC83">
            <w:pPr>
              <w:spacing w:line="360" w:lineRule="auto"/>
              <w:ind w:firstLine="480" w:firstLineChars="200"/>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snapToGrid w:val="0"/>
                <w:color w:val="auto"/>
                <w:kern w:val="0"/>
                <w:sz w:val="24"/>
                <w:szCs w:val="24"/>
                <w:lang w:val="en-US" w:eastAsia="zh-CN" w:bidi="ar-SA"/>
              </w:rPr>
              <w:t>故障处置与响应：接到故障通知后，15分钟内响应，30分钟内到场；重大故障4小时内修复，并采取临时安全措施。维修完成后需经医院消防安全管理人签字确认。</w:t>
            </w:r>
          </w:p>
          <w:p w14:paraId="0F99C1A1">
            <w:pPr>
              <w:spacing w:line="360" w:lineRule="auto"/>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snapToGrid w:val="0"/>
                <w:color w:val="auto"/>
                <w:kern w:val="0"/>
                <w:sz w:val="24"/>
                <w:szCs w:val="24"/>
                <w:lang w:val="en-US" w:eastAsia="zh-CN" w:bidi="ar-SA"/>
              </w:rPr>
              <w:t>应急预案协作：协助医院制定消防应急预案，针对手术室、隔离区等特殊场景设计专项处置流程（如手动控制气体灭火系统）。每年参与至少1次综合消防演练，模拟夜间等复杂场景。</w:t>
            </w:r>
          </w:p>
          <w:p w14:paraId="42683AAA">
            <w:pPr>
              <w:spacing w:line="360" w:lineRule="auto"/>
              <w:ind w:firstLine="480" w:firstLineChars="200"/>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snapToGrid w:val="0"/>
                <w:color w:val="auto"/>
                <w:kern w:val="0"/>
                <w:sz w:val="24"/>
                <w:szCs w:val="24"/>
                <w:lang w:val="en-US" w:eastAsia="zh-CN" w:bidi="ar-SA"/>
              </w:rPr>
              <w:t>外部协作义务：配合医院及应急消防部门检查，提供技术资料并落实整改要求。在上级检查前开展预检，确保系统零缺陷。</w:t>
            </w:r>
          </w:p>
          <w:p w14:paraId="1DC5D96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snapToGrid w:val="0"/>
                <w:color w:val="auto"/>
                <w:kern w:val="0"/>
                <w:sz w:val="24"/>
                <w:szCs w:val="24"/>
                <w:lang w:val="en-US" w:eastAsia="zh-CN" w:bidi="ar-SA"/>
              </w:rPr>
              <w:t>2.技术服务要求</w:t>
            </w:r>
          </w:p>
          <w:p w14:paraId="2969B42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snapToGrid w:val="0"/>
                <w:color w:val="auto"/>
                <w:kern w:val="0"/>
                <w:sz w:val="24"/>
                <w:szCs w:val="24"/>
                <w:lang w:val="en-US" w:eastAsia="zh-CN" w:bidi="ar-SA"/>
              </w:rPr>
              <w:t>（1）室内外消防栓系统的维护保养内容</w:t>
            </w:r>
          </w:p>
          <w:p w14:paraId="184DE9C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snapToGrid w:val="0"/>
                <w:color w:val="auto"/>
                <w:kern w:val="0"/>
                <w:sz w:val="24"/>
                <w:szCs w:val="24"/>
                <w:lang w:val="en-US" w:eastAsia="zh-CN" w:bidi="ar-SA"/>
              </w:rPr>
              <w:t>（1.1）检查消防栓箱配置是否完整齐全，包括检查每个消防栓口的静压是否符合设计或规范要求，检查栓口橡胶是否老化、龟裂或脱落，检查水带是否霉烂、穿孔，检查卷盘胶管是否老化、龟裂，检查破玻按钮是否破碎；</w:t>
            </w:r>
          </w:p>
          <w:p w14:paraId="2D36262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snapToGrid w:val="0"/>
                <w:color w:val="auto"/>
                <w:kern w:val="0"/>
                <w:sz w:val="24"/>
                <w:szCs w:val="24"/>
                <w:lang w:val="en-US" w:eastAsia="zh-CN" w:bidi="ar-SA"/>
              </w:rPr>
              <w:t>（1.2）检查测试消防栓破玻系统，试验破玻按钮，警铃是否鸣响、消防水泵是否启动、消防中心是否有报警信号及消防水泵状态显示；</w:t>
            </w:r>
          </w:p>
          <w:p w14:paraId="08CD26D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snapToGrid w:val="0"/>
                <w:color w:val="auto"/>
                <w:kern w:val="0"/>
                <w:sz w:val="24"/>
                <w:szCs w:val="24"/>
                <w:lang w:val="en-US" w:eastAsia="zh-CN" w:bidi="ar-SA"/>
              </w:rPr>
              <w:t>（1.3）检查各阀门是否处于正常工作状态，是否完好不渗漏；</w:t>
            </w:r>
          </w:p>
          <w:p w14:paraId="0831CBD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snapToGrid w:val="0"/>
                <w:color w:val="auto"/>
                <w:kern w:val="0"/>
                <w:sz w:val="24"/>
                <w:szCs w:val="24"/>
                <w:lang w:val="en-US" w:eastAsia="zh-CN" w:bidi="ar-SA"/>
              </w:rPr>
              <w:t>（1.4）检查保养消防栓系统的水泵接合器，确保完整、不渗漏；</w:t>
            </w:r>
          </w:p>
          <w:p w14:paraId="1C80B94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snapToGrid w:val="0"/>
                <w:color w:val="auto"/>
                <w:kern w:val="0"/>
                <w:sz w:val="24"/>
                <w:szCs w:val="24"/>
                <w:lang w:val="en-US" w:eastAsia="zh-CN" w:bidi="ar-SA"/>
              </w:rPr>
              <w:t>（1.5）定期试验消防栓，检查其喷水充实水柱是否达到规范或设计要求；</w:t>
            </w:r>
          </w:p>
          <w:p w14:paraId="47048F7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snapToGrid w:val="0"/>
                <w:color w:val="auto"/>
                <w:kern w:val="0"/>
                <w:sz w:val="24"/>
                <w:szCs w:val="24"/>
                <w:lang w:val="en-US" w:eastAsia="zh-CN" w:bidi="ar-SA"/>
              </w:rPr>
              <w:t>（1.6）定期试验安全泄压阀是否灵敏、可靠，检查水锤吸纳器工作是否有效；</w:t>
            </w:r>
          </w:p>
          <w:p w14:paraId="6F4727D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snapToGrid w:val="0"/>
                <w:color w:val="auto"/>
                <w:kern w:val="0"/>
                <w:sz w:val="24"/>
                <w:szCs w:val="24"/>
                <w:lang w:val="en-US" w:eastAsia="zh-CN" w:bidi="ar-SA"/>
              </w:rPr>
              <w:t>（1.7）检查消防栓管网的减压阀及其过滤器是否正常，定期清洗过滤器；</w:t>
            </w:r>
          </w:p>
          <w:p w14:paraId="50851E4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snapToGrid w:val="0"/>
                <w:color w:val="auto"/>
                <w:kern w:val="0"/>
                <w:sz w:val="24"/>
                <w:szCs w:val="24"/>
                <w:lang w:val="en-US" w:eastAsia="zh-CN" w:bidi="ar-SA"/>
              </w:rPr>
              <w:t>（1.8）定期检查阀门是否开关灵活、有效，阀门关闭不严或不能灵活使用的应及时修理，对阀门的接触面发现有缺陷的，需进行研磨工作，无法修复的予以更换。定期对阀门转动部位和螺栓加黄油润滑；</w:t>
            </w:r>
          </w:p>
          <w:p w14:paraId="5633B24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snapToGrid w:val="0"/>
                <w:color w:val="auto"/>
                <w:kern w:val="0"/>
                <w:sz w:val="24"/>
                <w:szCs w:val="24"/>
                <w:lang w:val="en-US" w:eastAsia="zh-CN" w:bidi="ar-SA"/>
              </w:rPr>
              <w:t>（1.9）检查止回阀启闭是否灵活、有效；</w:t>
            </w:r>
          </w:p>
          <w:p w14:paraId="3213F74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snapToGrid w:val="0"/>
                <w:color w:val="auto"/>
                <w:kern w:val="0"/>
                <w:sz w:val="24"/>
                <w:szCs w:val="24"/>
                <w:lang w:val="en-US" w:eastAsia="zh-CN" w:bidi="ar-SA"/>
              </w:rPr>
              <w:t>（1.10）定期对消防栓系统管网进行全面检查，对腐蚀严重的管道予与更换，对油漆脱落的管道及时除锈刷防锈漆和标志漆。</w:t>
            </w:r>
          </w:p>
          <w:p w14:paraId="0663504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snapToGrid w:val="0"/>
                <w:color w:val="auto"/>
                <w:kern w:val="0"/>
                <w:sz w:val="24"/>
                <w:szCs w:val="24"/>
                <w:lang w:val="en-US" w:eastAsia="zh-CN" w:bidi="ar-SA"/>
              </w:rPr>
              <w:t>（2）自动喷水灭火系统的维护保养内容</w:t>
            </w:r>
          </w:p>
          <w:p w14:paraId="69970B8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snapToGrid w:val="0"/>
                <w:color w:val="auto"/>
                <w:kern w:val="0"/>
                <w:sz w:val="24"/>
                <w:szCs w:val="24"/>
                <w:lang w:val="en-US" w:eastAsia="zh-CN" w:bidi="ar-SA"/>
              </w:rPr>
              <w:t>（2.1）检查试验楼层喷淋管网末端试验装置是否正常（水压、流量是否达到要求）；</w:t>
            </w:r>
          </w:p>
          <w:p w14:paraId="0AA1D10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snapToGrid w:val="0"/>
                <w:color w:val="auto"/>
                <w:kern w:val="0"/>
                <w:sz w:val="24"/>
                <w:szCs w:val="24"/>
                <w:lang w:val="en-US" w:eastAsia="zh-CN" w:bidi="ar-SA"/>
              </w:rPr>
              <w:t>（2.2）检查试验水流指示器动作是否灵敏，报警是否及时准确，复位是否正常，消防中心是否有显示等；</w:t>
            </w:r>
          </w:p>
          <w:p w14:paraId="0631B5B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snapToGrid w:val="0"/>
                <w:color w:val="auto"/>
                <w:kern w:val="0"/>
                <w:sz w:val="24"/>
                <w:szCs w:val="24"/>
                <w:lang w:val="en-US" w:eastAsia="zh-CN" w:bidi="ar-SA"/>
              </w:rPr>
              <w:t>（2.3）检查喷淋头、管道是否完好，有无爆裂隐患；</w:t>
            </w:r>
          </w:p>
          <w:p w14:paraId="2A3F62B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snapToGrid w:val="0"/>
                <w:color w:val="auto"/>
                <w:kern w:val="0"/>
                <w:sz w:val="24"/>
                <w:szCs w:val="24"/>
                <w:lang w:val="en-US" w:eastAsia="zh-CN" w:bidi="ar-SA"/>
              </w:rPr>
              <w:t>（2.4）检查各个阀门是否处于正常开启状态，试验楼层信号阀门开关是否灵活，消防中心是否有关闭信号显示；</w:t>
            </w:r>
          </w:p>
          <w:p w14:paraId="2D9B381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snapToGrid w:val="0"/>
                <w:color w:val="auto"/>
                <w:kern w:val="0"/>
                <w:sz w:val="24"/>
                <w:szCs w:val="24"/>
                <w:lang w:val="en-US" w:eastAsia="zh-CN" w:bidi="ar-SA"/>
              </w:rPr>
              <w:t>（2.5）检查保养喷淋系统的水泵接合器，确保完整、不渗漏；</w:t>
            </w:r>
          </w:p>
          <w:p w14:paraId="2851257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snapToGrid w:val="0"/>
                <w:color w:val="auto"/>
                <w:kern w:val="0"/>
                <w:sz w:val="24"/>
                <w:szCs w:val="24"/>
                <w:lang w:val="en-US" w:eastAsia="zh-CN" w:bidi="ar-SA"/>
              </w:rPr>
              <w:t>（2.6）定期试验安全泄压阀是否灵敏、可靠，检查水锤吸纳器工作是否有效；</w:t>
            </w:r>
          </w:p>
          <w:p w14:paraId="39C38B7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snapToGrid w:val="0"/>
                <w:color w:val="auto"/>
                <w:kern w:val="0"/>
                <w:sz w:val="24"/>
                <w:szCs w:val="24"/>
                <w:lang w:val="en-US" w:eastAsia="zh-CN" w:bidi="ar-SA"/>
              </w:rPr>
              <w:t>（2.7）检查喷淋立管的自动排气阀的工作状态是否正常；</w:t>
            </w:r>
          </w:p>
          <w:p w14:paraId="1A62FE7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snapToGrid w:val="0"/>
                <w:color w:val="auto"/>
                <w:kern w:val="0"/>
                <w:sz w:val="24"/>
                <w:szCs w:val="24"/>
                <w:lang w:val="en-US" w:eastAsia="zh-CN" w:bidi="ar-SA"/>
              </w:rPr>
              <w:t>（2.8）检查试验湿式报警阀、水力警铃动作是否灵敏，喷淋泵是否启动，消防中心显示是否准确；</w:t>
            </w:r>
          </w:p>
          <w:p w14:paraId="432D34C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snapToGrid w:val="0"/>
                <w:color w:val="auto"/>
                <w:kern w:val="0"/>
                <w:sz w:val="24"/>
                <w:szCs w:val="24"/>
                <w:lang w:val="en-US" w:eastAsia="zh-CN" w:bidi="ar-SA"/>
              </w:rPr>
              <w:t>（2.9）定期检查阀门是否开关灵活、有效，阀门关闭不严或不能灵活使用的应及时修理，对阀门的接触面发现有缺陷的，需进行研磨工作，无法修复的予以更换。定期对阀门转动部位螺栓加黄油；</w:t>
            </w:r>
          </w:p>
          <w:p w14:paraId="3C7834F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snapToGrid w:val="0"/>
                <w:color w:val="auto"/>
                <w:kern w:val="0"/>
                <w:sz w:val="24"/>
                <w:szCs w:val="24"/>
                <w:lang w:val="en-US" w:eastAsia="zh-CN" w:bidi="ar-SA"/>
              </w:rPr>
              <w:t>（2.10）检查止回阀启闭是否灵活、有效；</w:t>
            </w:r>
          </w:p>
          <w:p w14:paraId="20C03DF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snapToGrid w:val="0"/>
                <w:color w:val="auto"/>
                <w:kern w:val="0"/>
                <w:sz w:val="24"/>
                <w:szCs w:val="24"/>
                <w:lang w:val="en-US" w:eastAsia="zh-CN" w:bidi="ar-SA"/>
              </w:rPr>
              <w:t>（2.11）定期对喷淋系统管网进行全面检查，对腐蚀严重的管道予与更换，对油漆脱落的管道及时除锈刷防锈漆和标志漆。</w:t>
            </w:r>
          </w:p>
          <w:p w14:paraId="0F8E5AD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snapToGrid w:val="0"/>
                <w:color w:val="auto"/>
                <w:kern w:val="0"/>
                <w:sz w:val="24"/>
                <w:szCs w:val="24"/>
                <w:lang w:val="en-US" w:eastAsia="zh-CN" w:bidi="ar-SA"/>
              </w:rPr>
              <w:t>（3）火灾自动报警系统的维护保养内容</w:t>
            </w:r>
          </w:p>
          <w:p w14:paraId="5F17757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snapToGrid w:val="0"/>
                <w:color w:val="auto"/>
                <w:kern w:val="0"/>
                <w:sz w:val="24"/>
                <w:szCs w:val="24"/>
                <w:lang w:val="en-US" w:eastAsia="zh-CN" w:bidi="ar-SA"/>
              </w:rPr>
              <w:t>（3.1）用专用测试仪器分期分批次全面测试探测器的动作及确认灯的显示，试验烟、温感探测器动作是否灵敏；</w:t>
            </w:r>
          </w:p>
          <w:p w14:paraId="6CAE54C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snapToGrid w:val="0"/>
                <w:color w:val="auto"/>
                <w:kern w:val="0"/>
                <w:sz w:val="24"/>
                <w:szCs w:val="24"/>
                <w:lang w:val="en-US" w:eastAsia="zh-CN" w:bidi="ar-SA"/>
              </w:rPr>
              <w:t>（3.2）检查试验主控屏是否正常，有报警信号源时是否正确显示某区探测器动作，警铃蜂鸣是否鸣响；</w:t>
            </w:r>
          </w:p>
          <w:p w14:paraId="1BD328E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snapToGrid w:val="0"/>
                <w:color w:val="auto"/>
                <w:kern w:val="0"/>
                <w:sz w:val="24"/>
                <w:szCs w:val="24"/>
                <w:lang w:val="en-US" w:eastAsia="zh-CN" w:bidi="ar-SA"/>
              </w:rPr>
              <w:t>（3.3）试验手报按钮报警，本层及其上、下各一层警铃是否动作鸣响，消防中心显示报警区域是否准确；</w:t>
            </w:r>
          </w:p>
          <w:p w14:paraId="0CB1620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snapToGrid w:val="0"/>
                <w:color w:val="auto"/>
                <w:kern w:val="0"/>
                <w:sz w:val="24"/>
                <w:szCs w:val="24"/>
                <w:lang w:val="en-US" w:eastAsia="zh-CN" w:bidi="ar-SA"/>
              </w:rPr>
              <w:t>（3.4）检查主控屏和联动控制屏的各项输入、输出显示功能是否正常，并全面清洁、保养；</w:t>
            </w:r>
          </w:p>
          <w:p w14:paraId="340C90E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snapToGrid w:val="0"/>
                <w:color w:val="auto"/>
                <w:kern w:val="0"/>
                <w:sz w:val="24"/>
                <w:szCs w:val="24"/>
                <w:lang w:val="en-US" w:eastAsia="zh-CN" w:bidi="ar-SA"/>
              </w:rPr>
              <w:t>（3.5）检查各个界面（模块）和主机系统外围设备的通信、控制信号是否正常，检查界面（模块）输出电压是否正常，确保正常运行；</w:t>
            </w:r>
          </w:p>
          <w:p w14:paraId="4992898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snapToGrid w:val="0"/>
                <w:color w:val="auto"/>
                <w:kern w:val="0"/>
                <w:sz w:val="24"/>
                <w:szCs w:val="24"/>
                <w:lang w:val="en-US" w:eastAsia="zh-CN" w:bidi="ar-SA"/>
              </w:rPr>
              <w:t>（3.6）检查主机电池组、充电器的工作状态以及检查备用电池的电压及其他指标参数是否符合要求；</w:t>
            </w:r>
          </w:p>
          <w:p w14:paraId="279C869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snapToGrid w:val="0"/>
                <w:color w:val="auto"/>
                <w:kern w:val="0"/>
                <w:sz w:val="24"/>
                <w:szCs w:val="24"/>
                <w:lang w:val="en-US" w:eastAsia="zh-CN" w:bidi="ar-SA"/>
              </w:rPr>
              <w:t>（3.7）检查系统设备所有接线端子是否松动、破损和脱落；</w:t>
            </w:r>
          </w:p>
          <w:p w14:paraId="1175A5B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snapToGrid w:val="0"/>
                <w:color w:val="auto"/>
                <w:kern w:val="0"/>
                <w:sz w:val="24"/>
                <w:szCs w:val="24"/>
                <w:lang w:val="en-US" w:eastAsia="zh-CN" w:bidi="ar-SA"/>
              </w:rPr>
              <w:t>（3.8）定期对备用电源进行1～2次充放电试验；1～3次主和备用电源自动切换试验；</w:t>
            </w:r>
          </w:p>
          <w:p w14:paraId="4960025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snapToGrid w:val="0"/>
                <w:color w:val="auto"/>
                <w:kern w:val="0"/>
                <w:sz w:val="24"/>
                <w:szCs w:val="24"/>
                <w:lang w:val="en-US" w:eastAsia="zh-CN" w:bidi="ar-SA"/>
              </w:rPr>
              <w:t>（3.9）定期对感烟、感温探测器进行清洁，必要时进行清洗，确保报警灵敏；</w:t>
            </w:r>
          </w:p>
          <w:p w14:paraId="5213EBE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snapToGrid w:val="0"/>
                <w:color w:val="auto"/>
                <w:kern w:val="0"/>
                <w:sz w:val="24"/>
                <w:szCs w:val="24"/>
                <w:lang w:val="en-US" w:eastAsia="zh-CN" w:bidi="ar-SA"/>
              </w:rPr>
              <w:t>（3.10）定期检测报警主机控制程序有否乱码，确保主机功能正常；</w:t>
            </w:r>
          </w:p>
          <w:p w14:paraId="463BB46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snapToGrid w:val="0"/>
                <w:color w:val="auto"/>
                <w:kern w:val="0"/>
                <w:sz w:val="24"/>
                <w:szCs w:val="24"/>
                <w:lang w:val="en-US" w:eastAsia="zh-CN" w:bidi="ar-SA"/>
              </w:rPr>
              <w:t>（3.11）定期测试报警主机系统的接地电阻是否满足要求，并做好记录。</w:t>
            </w:r>
          </w:p>
          <w:p w14:paraId="64927B7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snapToGrid w:val="0"/>
                <w:color w:val="auto"/>
                <w:kern w:val="0"/>
                <w:sz w:val="24"/>
                <w:szCs w:val="24"/>
                <w:lang w:val="en-US" w:eastAsia="zh-CN" w:bidi="ar-SA"/>
              </w:rPr>
              <w:t>（4）防火卷帘的维护保养内容</w:t>
            </w:r>
          </w:p>
          <w:p w14:paraId="575AFAD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snapToGrid w:val="0"/>
                <w:color w:val="auto"/>
                <w:kern w:val="0"/>
                <w:sz w:val="24"/>
                <w:szCs w:val="24"/>
                <w:lang w:val="en-US" w:eastAsia="zh-CN" w:bidi="ar-SA"/>
              </w:rPr>
              <w:t>（4.1）试验感烟、感温探测器的联动卷帘降落的功能是否正常；</w:t>
            </w:r>
          </w:p>
          <w:p w14:paraId="184A0FF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snapToGrid w:val="0"/>
                <w:color w:val="auto"/>
                <w:kern w:val="0"/>
                <w:sz w:val="24"/>
                <w:szCs w:val="24"/>
                <w:lang w:val="en-US" w:eastAsia="zh-CN" w:bidi="ar-SA"/>
              </w:rPr>
              <w:t>（4.2）试验现场手动控制按钮的功能是否正常，试验防火卷帘远程启降功能是否正常；</w:t>
            </w:r>
          </w:p>
          <w:p w14:paraId="41B9353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snapToGrid w:val="0"/>
                <w:color w:val="auto"/>
                <w:kern w:val="0"/>
                <w:sz w:val="24"/>
                <w:szCs w:val="24"/>
                <w:lang w:val="en-US" w:eastAsia="zh-CN" w:bidi="ar-SA"/>
              </w:rPr>
              <w:t>（4.3）试验防火卷帘控制器的功能是否正常；</w:t>
            </w:r>
          </w:p>
          <w:p w14:paraId="2CFBBD4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snapToGrid w:val="0"/>
                <w:color w:val="auto"/>
                <w:kern w:val="0"/>
                <w:sz w:val="24"/>
                <w:szCs w:val="24"/>
                <w:lang w:val="en-US" w:eastAsia="zh-CN" w:bidi="ar-SA"/>
              </w:rPr>
              <w:t>（4.4）检查试验卷帘导轨和转动机构（含链条）运转是否正常，检查卷帘叶片有无变形；</w:t>
            </w:r>
          </w:p>
          <w:p w14:paraId="1F56D2B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snapToGrid w:val="0"/>
                <w:color w:val="auto"/>
                <w:kern w:val="0"/>
                <w:sz w:val="24"/>
                <w:szCs w:val="24"/>
                <w:lang w:val="en-US" w:eastAsia="zh-CN" w:bidi="ar-SA"/>
              </w:rPr>
              <w:t>（4.5）试验防火卷帘的联动功能是否正常，降落时消防中心有无显示。</w:t>
            </w:r>
          </w:p>
          <w:p w14:paraId="4D97178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snapToGrid w:val="0"/>
                <w:color w:val="auto"/>
                <w:kern w:val="0"/>
                <w:sz w:val="24"/>
                <w:szCs w:val="24"/>
                <w:lang w:val="en-US" w:eastAsia="zh-CN" w:bidi="ar-SA"/>
              </w:rPr>
              <w:t>（5）消防电话通讯系统的维护保养</w:t>
            </w:r>
          </w:p>
          <w:p w14:paraId="07565F1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snapToGrid w:val="0"/>
                <w:color w:val="auto"/>
                <w:kern w:val="0"/>
                <w:sz w:val="24"/>
                <w:szCs w:val="24"/>
                <w:lang w:val="en-US" w:eastAsia="zh-CN" w:bidi="ar-SA"/>
              </w:rPr>
              <w:t>（5.1）检查消防专用电话或插孔是否完好；</w:t>
            </w:r>
          </w:p>
          <w:p w14:paraId="5F7ED07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snapToGrid w:val="0"/>
                <w:color w:val="auto"/>
                <w:kern w:val="0"/>
                <w:sz w:val="24"/>
                <w:szCs w:val="24"/>
                <w:lang w:val="en-US" w:eastAsia="zh-CN" w:bidi="ar-SA"/>
              </w:rPr>
              <w:t>（5.2）定期试验每个消防专用电话或插孔的通讯是否畅通，语音是否清晰、响亮，消防中心电话主机显示通话部位是否正确。</w:t>
            </w:r>
          </w:p>
          <w:p w14:paraId="1270EE2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snapToGrid w:val="0"/>
                <w:color w:val="auto"/>
                <w:kern w:val="0"/>
                <w:sz w:val="24"/>
                <w:szCs w:val="24"/>
                <w:lang w:val="en-US" w:eastAsia="zh-CN" w:bidi="ar-SA"/>
              </w:rPr>
              <w:t>（6）消防广播的维护保养内容</w:t>
            </w:r>
          </w:p>
          <w:p w14:paraId="123EAD1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snapToGrid w:val="0"/>
                <w:color w:val="auto"/>
                <w:kern w:val="0"/>
                <w:sz w:val="24"/>
                <w:szCs w:val="24"/>
                <w:lang w:val="en-US" w:eastAsia="zh-CN" w:bidi="ar-SA"/>
              </w:rPr>
              <w:t>（6.1）试验火灾应急广播设备的功能是否正常。在试验中不论扬声器当时处于何种工作状态，都应能紧急切换到火灾事故广播上，音响清晰；</w:t>
            </w:r>
          </w:p>
          <w:p w14:paraId="346DDB8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snapToGrid w:val="0"/>
                <w:color w:val="auto"/>
                <w:kern w:val="0"/>
                <w:sz w:val="24"/>
                <w:szCs w:val="24"/>
                <w:lang w:val="en-US" w:eastAsia="zh-CN" w:bidi="ar-SA"/>
              </w:rPr>
              <w:t>（6.2）检查保养消防扬声器，测试楼层扬声器的效果，声响是否响亮清晰；</w:t>
            </w:r>
          </w:p>
          <w:p w14:paraId="3C905EE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snapToGrid w:val="0"/>
                <w:color w:val="auto"/>
                <w:kern w:val="0"/>
                <w:sz w:val="24"/>
                <w:szCs w:val="24"/>
                <w:lang w:val="en-US" w:eastAsia="zh-CN" w:bidi="ar-SA"/>
              </w:rPr>
              <w:t>（6.3）定期对消防广播主机进行一次检测维护保养；</w:t>
            </w:r>
          </w:p>
          <w:p w14:paraId="26670F0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snapToGrid w:val="0"/>
                <w:color w:val="auto"/>
                <w:kern w:val="0"/>
                <w:sz w:val="24"/>
                <w:szCs w:val="24"/>
                <w:lang w:val="en-US" w:eastAsia="zh-CN" w:bidi="ar-SA"/>
              </w:rPr>
              <w:t>（6.4）试验消防广播的选层广播功能是否正常。</w:t>
            </w:r>
          </w:p>
          <w:p w14:paraId="5C15AC9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snapToGrid w:val="0"/>
                <w:color w:val="auto"/>
                <w:kern w:val="0"/>
                <w:sz w:val="24"/>
                <w:szCs w:val="24"/>
                <w:lang w:val="en-US" w:eastAsia="zh-CN" w:bidi="ar-SA"/>
              </w:rPr>
              <w:t>（7）消防联动系统（含防排烟系统）的维护保养内容</w:t>
            </w:r>
          </w:p>
          <w:p w14:paraId="36BD093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snapToGrid w:val="0"/>
                <w:color w:val="auto"/>
                <w:kern w:val="0"/>
                <w:sz w:val="24"/>
                <w:szCs w:val="24"/>
                <w:lang w:val="en-US" w:eastAsia="zh-CN" w:bidi="ar-SA"/>
              </w:rPr>
              <w:t>（7.1）检查试验消防正压送风机（排烟风机）及正压送风阀（排烟阀）的联动功能是否正常；</w:t>
            </w:r>
          </w:p>
          <w:p w14:paraId="597A108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snapToGrid w:val="0"/>
                <w:color w:val="auto"/>
                <w:kern w:val="0"/>
                <w:sz w:val="24"/>
                <w:szCs w:val="24"/>
                <w:lang w:val="en-US" w:eastAsia="zh-CN" w:bidi="ar-SA"/>
              </w:rPr>
              <w:t>（7.2）测试空调通风系统、排风系统的防火阀功能及联动讯号功能是否正常；</w:t>
            </w:r>
          </w:p>
          <w:p w14:paraId="03EF13E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snapToGrid w:val="0"/>
                <w:color w:val="auto"/>
                <w:kern w:val="0"/>
                <w:sz w:val="24"/>
                <w:szCs w:val="24"/>
                <w:lang w:val="en-US" w:eastAsia="zh-CN" w:bidi="ar-SA"/>
              </w:rPr>
              <w:t>（7.3）测试消防电梯的人工迫降的信号功能是否正常；</w:t>
            </w:r>
          </w:p>
          <w:p w14:paraId="1C4616D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snapToGrid w:val="0"/>
                <w:color w:val="auto"/>
                <w:kern w:val="0"/>
                <w:sz w:val="24"/>
                <w:szCs w:val="24"/>
                <w:lang w:val="en-US" w:eastAsia="zh-CN" w:bidi="ar-SA"/>
              </w:rPr>
              <w:t>（7.4）测试非消防电梯迫降首层的信号和联锁信号功能是否正常；</w:t>
            </w:r>
          </w:p>
          <w:p w14:paraId="54B5A0F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snapToGrid w:val="0"/>
                <w:color w:val="auto"/>
                <w:kern w:val="0"/>
                <w:sz w:val="24"/>
                <w:szCs w:val="24"/>
                <w:lang w:val="en-US" w:eastAsia="zh-CN" w:bidi="ar-SA"/>
              </w:rPr>
              <w:t>（7.5）测试以上各联动机构消防中心相应控制屏的讯号是否正常；</w:t>
            </w:r>
          </w:p>
          <w:p w14:paraId="41CA032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snapToGrid w:val="0"/>
                <w:color w:val="auto"/>
                <w:kern w:val="0"/>
                <w:sz w:val="24"/>
                <w:szCs w:val="24"/>
                <w:lang w:val="en-US" w:eastAsia="zh-CN" w:bidi="ar-SA"/>
              </w:rPr>
              <w:t>（7.6）测试楼层非消防电源自动切断功能是否正常；</w:t>
            </w:r>
          </w:p>
          <w:p w14:paraId="4051458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snapToGrid w:val="0"/>
                <w:color w:val="auto"/>
                <w:kern w:val="0"/>
                <w:sz w:val="24"/>
                <w:szCs w:val="24"/>
                <w:lang w:val="en-US" w:eastAsia="zh-CN" w:bidi="ar-SA"/>
              </w:rPr>
              <w:t>（7.7）检查试验联动警铃的功能是否正常；</w:t>
            </w:r>
          </w:p>
          <w:p w14:paraId="17116B1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snapToGrid w:val="0"/>
                <w:color w:val="auto"/>
                <w:kern w:val="0"/>
                <w:sz w:val="24"/>
                <w:szCs w:val="24"/>
                <w:lang w:val="en-US" w:eastAsia="zh-CN" w:bidi="ar-SA"/>
              </w:rPr>
              <w:t>（7.8）检查试验联动广播的功能是否正常；</w:t>
            </w:r>
          </w:p>
          <w:p w14:paraId="68DF2DB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snapToGrid w:val="0"/>
                <w:color w:val="auto"/>
                <w:kern w:val="0"/>
                <w:sz w:val="24"/>
                <w:szCs w:val="24"/>
                <w:lang w:val="en-US" w:eastAsia="zh-CN" w:bidi="ar-SA"/>
              </w:rPr>
              <w:t>（7.9）测试正压送风机（排烟风机）现场和远程启停控制功能是否正常；</w:t>
            </w:r>
          </w:p>
          <w:p w14:paraId="23CD723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snapToGrid w:val="0"/>
                <w:color w:val="auto"/>
                <w:kern w:val="0"/>
                <w:sz w:val="24"/>
                <w:szCs w:val="24"/>
                <w:lang w:val="en-US" w:eastAsia="zh-CN" w:bidi="ar-SA"/>
              </w:rPr>
              <w:t>（7.10）定期对正压送风机（排烟风机）、正压送风阀（排烟阀）进行保养，对转动部位加润滑油并调整风机皮带松紧度等。</w:t>
            </w:r>
          </w:p>
          <w:p w14:paraId="105DFE6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snapToGrid w:val="0"/>
                <w:color w:val="auto"/>
                <w:kern w:val="0"/>
                <w:sz w:val="24"/>
                <w:szCs w:val="24"/>
                <w:lang w:val="en-US" w:eastAsia="zh-CN" w:bidi="ar-SA"/>
              </w:rPr>
              <w:t>（8）水泵、控制柜、联动柜的维护保养内容</w:t>
            </w:r>
          </w:p>
          <w:p w14:paraId="36BB39D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snapToGrid w:val="0"/>
                <w:color w:val="auto"/>
                <w:kern w:val="0"/>
                <w:sz w:val="24"/>
                <w:szCs w:val="24"/>
                <w:lang w:val="en-US" w:eastAsia="zh-CN" w:bidi="ar-SA"/>
              </w:rPr>
              <w:t>（8.1）检查试验自动和手动启动消防水泵，观察流量、压力、运行电流是否正常，并做好记录存档；</w:t>
            </w:r>
          </w:p>
          <w:p w14:paraId="348E97E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snapToGrid w:val="0"/>
                <w:color w:val="auto"/>
                <w:kern w:val="0"/>
                <w:sz w:val="24"/>
                <w:szCs w:val="24"/>
                <w:lang w:val="en-US" w:eastAsia="zh-CN" w:bidi="ar-SA"/>
              </w:rPr>
              <w:t>（8.2）检查各控制柜到消防中心信号是否正常，控制柜各指示灯各功能是否正常；</w:t>
            </w:r>
          </w:p>
          <w:p w14:paraId="6D03666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snapToGrid w:val="0"/>
                <w:color w:val="auto"/>
                <w:kern w:val="0"/>
                <w:sz w:val="24"/>
                <w:szCs w:val="24"/>
                <w:lang w:val="en-US" w:eastAsia="zh-CN" w:bidi="ar-SA"/>
              </w:rPr>
              <w:t>（8.3）定期检查联动柜内部电路，测试其功能是否正常，并进行吸尘、紧固接线的保养工作；</w:t>
            </w:r>
          </w:p>
          <w:p w14:paraId="1BB3937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snapToGrid w:val="0"/>
                <w:color w:val="auto"/>
                <w:kern w:val="0"/>
                <w:sz w:val="24"/>
                <w:szCs w:val="24"/>
                <w:lang w:val="en-US" w:eastAsia="zh-CN" w:bidi="ar-SA"/>
              </w:rPr>
              <w:t>（8.4）定期检查消防水泵主备电源自动切换装置是否正常。打开水泵出水管上的放水试验阀，用主电源启动消防水泵，消防水泵启动应正常；关掉主电源，主、备电源切换正常，试验1~3次；</w:t>
            </w:r>
          </w:p>
          <w:p w14:paraId="3C8FB05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snapToGrid w:val="0"/>
                <w:color w:val="auto"/>
                <w:kern w:val="0"/>
                <w:sz w:val="24"/>
                <w:szCs w:val="24"/>
                <w:lang w:val="en-US" w:eastAsia="zh-CN" w:bidi="ar-SA"/>
              </w:rPr>
              <w:t>（8.5）定期测试水泵的相间及对地电阻是否符合要求，并做好记录；</w:t>
            </w:r>
          </w:p>
          <w:p w14:paraId="270F38C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snapToGrid w:val="0"/>
                <w:color w:val="auto"/>
                <w:kern w:val="0"/>
                <w:sz w:val="24"/>
                <w:szCs w:val="24"/>
                <w:lang w:val="en-US" w:eastAsia="zh-CN" w:bidi="ar-SA"/>
              </w:rPr>
              <w:t>（8.6）定期测试消防水泵的故障自投功能是否正常；</w:t>
            </w:r>
          </w:p>
          <w:p w14:paraId="4D0D020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snapToGrid w:val="0"/>
                <w:color w:val="auto"/>
                <w:kern w:val="0"/>
                <w:sz w:val="24"/>
                <w:szCs w:val="24"/>
                <w:lang w:val="en-US" w:eastAsia="zh-CN" w:bidi="ar-SA"/>
              </w:rPr>
              <w:t>（8.7）定期添加或更换水泵的润滑油。</w:t>
            </w:r>
          </w:p>
          <w:p w14:paraId="32D853C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snapToGrid w:val="0"/>
                <w:color w:val="auto"/>
                <w:kern w:val="0"/>
                <w:sz w:val="24"/>
                <w:szCs w:val="24"/>
                <w:lang w:val="en-US" w:eastAsia="zh-CN" w:bidi="ar-SA"/>
              </w:rPr>
              <w:t>（9）消防应急照明和疏散指示系统的维护保养内容</w:t>
            </w:r>
          </w:p>
          <w:p w14:paraId="1EAC56D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snapToGrid w:val="0"/>
                <w:color w:val="auto"/>
                <w:kern w:val="0"/>
                <w:sz w:val="24"/>
                <w:szCs w:val="24"/>
                <w:lang w:val="en-US" w:eastAsia="zh-CN" w:bidi="ar-SA"/>
              </w:rPr>
              <w:t>（9.1）检查消防应急灯具、应急照明集中电源和应急照明控制器的指示状态；</w:t>
            </w:r>
          </w:p>
          <w:p w14:paraId="19A3352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snapToGrid w:val="0"/>
                <w:color w:val="auto"/>
                <w:kern w:val="0"/>
                <w:sz w:val="24"/>
                <w:szCs w:val="24"/>
                <w:lang w:val="en-US" w:eastAsia="zh-CN" w:bidi="ar-SA"/>
              </w:rPr>
              <w:t>（9.2）检查应急工作时间；</w:t>
            </w:r>
          </w:p>
          <w:p w14:paraId="6E39611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snapToGrid w:val="0"/>
                <w:color w:val="auto"/>
                <w:kern w:val="0"/>
                <w:sz w:val="24"/>
                <w:szCs w:val="24"/>
                <w:lang w:val="en-US" w:eastAsia="zh-CN" w:bidi="ar-SA"/>
              </w:rPr>
              <w:t>（9.3）检查转入应急工作状态的控制功能；</w:t>
            </w:r>
          </w:p>
          <w:p w14:paraId="252FD06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snapToGrid w:val="0"/>
                <w:color w:val="auto"/>
                <w:kern w:val="0"/>
                <w:sz w:val="24"/>
                <w:szCs w:val="24"/>
                <w:lang w:val="en-US" w:eastAsia="zh-CN" w:bidi="ar-SA"/>
              </w:rPr>
              <w:t>（9.4）对电池做容量检测试验；</w:t>
            </w:r>
          </w:p>
          <w:p w14:paraId="78E01A5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snapToGrid w:val="0"/>
                <w:color w:val="auto"/>
                <w:kern w:val="0"/>
                <w:sz w:val="24"/>
                <w:szCs w:val="24"/>
                <w:lang w:val="en-US" w:eastAsia="zh-CN" w:bidi="ar-SA"/>
              </w:rPr>
              <w:t>（9.5）试验应急功能；</w:t>
            </w:r>
          </w:p>
          <w:p w14:paraId="7081367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snapToGrid w:val="0"/>
                <w:color w:val="auto"/>
                <w:kern w:val="0"/>
                <w:sz w:val="24"/>
                <w:szCs w:val="24"/>
                <w:lang w:val="en-US" w:eastAsia="zh-CN" w:bidi="ar-SA"/>
              </w:rPr>
              <w:t>（9.6）试验自动和手动应急功能，进行消防系统的联动试验。</w:t>
            </w:r>
          </w:p>
          <w:p w14:paraId="35D6651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FF0000"/>
                <w:sz w:val="24"/>
                <w:szCs w:val="24"/>
                <w:lang w:val="en-US" w:eastAsia="zh-CN"/>
              </w:rPr>
            </w:pPr>
            <w:r>
              <w:rPr>
                <w:rFonts w:hint="eastAsia" w:ascii="宋体" w:hAnsi="宋体" w:eastAsia="宋体" w:cs="宋体"/>
                <w:snapToGrid w:val="0"/>
                <w:color w:val="auto"/>
                <w:kern w:val="0"/>
                <w:sz w:val="24"/>
                <w:szCs w:val="24"/>
                <w:lang w:val="en-US" w:eastAsia="zh-CN" w:bidi="ar-SA"/>
              </w:rPr>
              <w:t>3.供应商提供的配件、材料为全新、未使用、原厂包装完好，附带所有必要的文件（合格证、出厂测试报告、说明书等），符合国家相应标准。（服务承诺加上）</w:t>
            </w:r>
          </w:p>
        </w:tc>
      </w:tr>
    </w:tbl>
    <w:p w14:paraId="0FBC5243">
      <w:pPr>
        <w:spacing w:line="14" w:lineRule="auto"/>
        <w:rPr>
          <w:rFonts w:ascii="Arial"/>
          <w:sz w:val="2"/>
        </w:rPr>
      </w:pPr>
    </w:p>
    <w:p w14:paraId="680F5C66">
      <w:pPr>
        <w:pStyle w:val="3"/>
        <w:rPr>
          <w:rFonts w:ascii="Arial"/>
          <w:sz w:val="2"/>
        </w:rPr>
      </w:pPr>
    </w:p>
    <w:p w14:paraId="6E8FB8E5">
      <w:pPr>
        <w:keepNext w:val="0"/>
        <w:keepLines w:val="0"/>
        <w:pageBreakBefore w:val="0"/>
        <w:widowControl w:val="0"/>
        <w:numPr>
          <w:ilvl w:val="0"/>
          <w:numId w:val="0"/>
        </w:numPr>
        <w:kinsoku/>
        <w:wordWrap/>
        <w:overflowPunct/>
        <w:topLinePunct w:val="0"/>
        <w:autoSpaceDE/>
        <w:autoSpaceDN/>
        <w:bidi w:val="0"/>
        <w:adjustRightInd/>
        <w:snapToGrid/>
        <w:spacing w:beforeAutospacing="0" w:after="80" w:afterAutospacing="0" w:line="500" w:lineRule="exact"/>
        <w:ind w:left="479" w:leftChars="228" w:firstLine="480" w:firstLineChars="200"/>
        <w:textAlignment w:val="auto"/>
        <w:rPr>
          <w:rFonts w:hint="default" w:ascii="宋体" w:hAnsi="宋体" w:eastAsia="宋体" w:cs="宋体"/>
          <w:snapToGrid w:val="0"/>
          <w:color w:val="auto"/>
          <w:kern w:val="0"/>
          <w:sz w:val="24"/>
          <w:szCs w:val="24"/>
          <w:lang w:val="en-US" w:eastAsia="zh-CN" w:bidi="ar-SA"/>
        </w:rPr>
      </w:pPr>
      <w:bookmarkStart w:id="0" w:name="_GoBack"/>
      <w:bookmarkEnd w:id="0"/>
    </w:p>
    <w:sectPr>
      <w:pgSz w:w="11910" w:h="16840"/>
      <w:pgMar w:top="405" w:right="625" w:bottom="0" w:left="585"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D6A9774"/>
    <w:multiLevelType w:val="singleLevel"/>
    <w:tmpl w:val="2D6A9774"/>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OTNjYjJiZTQzMWZkYzkzMDY4MGMwODg2MmJjNWNiMjQifQ=="/>
  </w:docVars>
  <w:rsids>
    <w:rsidRoot w:val="00000000"/>
    <w:rsid w:val="031A3A30"/>
    <w:rsid w:val="1218192A"/>
    <w:rsid w:val="130378C1"/>
    <w:rsid w:val="16155F88"/>
    <w:rsid w:val="2225242F"/>
    <w:rsid w:val="3C8D44AB"/>
    <w:rsid w:val="442171A7"/>
    <w:rsid w:val="4D613236"/>
    <w:rsid w:val="54BB1B63"/>
    <w:rsid w:val="5B9434BE"/>
    <w:rsid w:val="5D064100"/>
    <w:rsid w:val="5E8636AF"/>
    <w:rsid w:val="68830971"/>
    <w:rsid w:val="6D4F64E6"/>
    <w:rsid w:val="6FBF72AC"/>
    <w:rsid w:val="73983492"/>
    <w:rsid w:val="7E0F6CAE"/>
    <w:rsid w:val="7FB9415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11">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3">
    <w:name w:val="Body Text"/>
    <w:basedOn w:val="1"/>
    <w:next w:val="4"/>
    <w:semiHidden/>
    <w:unhideWhenUsed/>
    <w:qFormat/>
    <w:uiPriority w:val="99"/>
    <w:pPr>
      <w:spacing w:after="120"/>
    </w:pPr>
  </w:style>
  <w:style w:type="paragraph" w:styleId="4">
    <w:name w:val="Body Text 2"/>
    <w:basedOn w:val="1"/>
    <w:next w:val="3"/>
    <w:qFormat/>
    <w:uiPriority w:val="0"/>
    <w:pPr>
      <w:spacing w:after="120" w:line="480" w:lineRule="auto"/>
      <w:ind w:firstLine="560" w:firstLineChars="200"/>
    </w:pPr>
    <w:rPr>
      <w:rFonts w:ascii="Calibri" w:hAnsi="Calibri" w:eastAsia="仿宋_GB2312"/>
      <w:sz w:val="28"/>
      <w:szCs w:val="24"/>
    </w:rPr>
  </w:style>
  <w:style w:type="paragraph" w:styleId="5">
    <w:name w:val="Body Text Indent"/>
    <w:basedOn w:val="1"/>
    <w:next w:val="6"/>
    <w:qFormat/>
    <w:uiPriority w:val="0"/>
    <w:pPr>
      <w:widowControl/>
      <w:spacing w:beforeAutospacing="1" w:afterAutospacing="1"/>
      <w:jc w:val="left"/>
    </w:pPr>
    <w:rPr>
      <w:rFonts w:ascii="宋体" w:hAnsi="宋体" w:cs="宋体"/>
      <w:kern w:val="0"/>
      <w:sz w:val="24"/>
    </w:rPr>
  </w:style>
  <w:style w:type="paragraph" w:styleId="6">
    <w:name w:val="Body Text First Indent 2"/>
    <w:basedOn w:val="5"/>
    <w:qFormat/>
    <w:uiPriority w:val="0"/>
    <w:pPr>
      <w:ind w:firstLine="420" w:firstLineChars="200"/>
    </w:pPr>
  </w:style>
  <w:style w:type="paragraph" w:styleId="7">
    <w:name w:val="Body Text Indent 2"/>
    <w:basedOn w:val="1"/>
    <w:qFormat/>
    <w:uiPriority w:val="0"/>
    <w:pPr>
      <w:spacing w:after="120" w:afterLines="0" w:line="480" w:lineRule="auto"/>
      <w:ind w:left="420" w:leftChars="200"/>
    </w:p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
    <w:name w:val="Table Normal"/>
    <w:autoRedefine/>
    <w:semiHidden/>
    <w:unhideWhenUsed/>
    <w:qFormat/>
    <w:uiPriority w:val="0"/>
    <w:tblPr>
      <w:tblCellMar>
        <w:top w:w="0" w:type="dxa"/>
        <w:left w:w="0" w:type="dxa"/>
        <w:bottom w:w="0" w:type="dxa"/>
        <w:right w:w="0" w:type="dxa"/>
      </w:tblCellMar>
    </w:tblPr>
  </w:style>
  <w:style w:type="paragraph" w:customStyle="1" w:styleId="13">
    <w:name w:val="Table Text"/>
    <w:basedOn w:val="1"/>
    <w:autoRedefine/>
    <w:semiHidden/>
    <w:qFormat/>
    <w:uiPriority w:val="0"/>
    <w:rPr>
      <w:rFonts w:ascii="宋体" w:hAnsi="宋体" w:eastAsia="宋体" w:cs="宋体"/>
      <w:sz w:val="23"/>
      <w:szCs w:val="23"/>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6</Pages>
  <Words>4916</Words>
  <Characters>5149</Characters>
  <TotalTime>11</TotalTime>
  <ScaleCrop>false</ScaleCrop>
  <LinksUpToDate>false</LinksUpToDate>
  <CharactersWithSpaces>5304</CharactersWithSpaces>
  <Application>WPS Office_12.1.0.24034_F1E327BC-269C-435d-A152-05C5408002CA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2024-04-18T16:26:00Z</dcterms:created>
  <dc:creator>Administrator</dc:creator>
  <cp:lastModifiedBy>驻马店市中医院招标办</cp:lastModifiedBy>
  <cp:lastPrinted>2024-04-19T00:07:00Z</cp:lastPrinted>
  <dcterms:modified xsi:type="dcterms:W3CDTF">2026-01-08T03:25:43Z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2024-04-18T16:26:51Z</vt:filetime>
  </property>
  <property fmtid="{D5CDD505-2E9C-101B-9397-08002B2CF9AE}" pid="4" name="UsrData">
    <vt:lpwstr>6620d9482c5135001f4fd140wl</vt:lpwstr>
  </property>
  <property fmtid="{D5CDD505-2E9C-101B-9397-08002B2CF9AE}" pid="5" name="KSOProductBuildVer">
    <vt:lpwstr>2052-12.1.0.24034</vt:lpwstr>
  </property>
  <property fmtid="{D5CDD505-2E9C-101B-9397-08002B2CF9AE}" pid="6" name="ICV">
    <vt:lpwstr>11F1D048878E4577BB3FC067F02A0630_13</vt:lpwstr>
  </property>
  <property fmtid="{D5CDD505-2E9C-101B-9397-08002B2CF9AE}" pid="7" name="KSOTemplateDocerSaveRecord">
    <vt:lpwstr>eyJoZGlkIjoiMTEyNGU5MjFiZWU2ZTkyMTZhZDU5NDk5ZTg5NzZkMzciLCJ1c2VySWQiOiIxMTM3NDM2MzI0In0=</vt:lpwstr>
  </property>
</Properties>
</file>