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FCC1">
      <w:pPr>
        <w:spacing w:line="215" w:lineRule="exact"/>
      </w:pPr>
    </w:p>
    <w:p w14:paraId="533304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采购需求确认书</w:t>
      </w:r>
    </w:p>
    <w:p w14:paraId="207E4EE3">
      <w:pPr>
        <w:spacing w:line="215" w:lineRule="exact"/>
      </w:pPr>
    </w:p>
    <w:tbl>
      <w:tblPr>
        <w:tblStyle w:val="10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8105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666" w:type="dxa"/>
            <w:vAlign w:val="center"/>
          </w:tcPr>
          <w:p w14:paraId="44BEFAC5">
            <w:pPr>
              <w:pStyle w:val="11"/>
              <w:spacing w:before="75" w:line="220" w:lineRule="auto"/>
              <w:jc w:val="both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项目名称</w:t>
            </w:r>
          </w:p>
        </w:tc>
        <w:tc>
          <w:tcPr>
            <w:tcW w:w="8105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驻马店市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中医院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电脑等办公配件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项目</w:t>
            </w:r>
          </w:p>
        </w:tc>
      </w:tr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666" w:type="dxa"/>
            <w:vAlign w:val="center"/>
          </w:tcPr>
          <w:p w14:paraId="349C2170">
            <w:pPr>
              <w:pStyle w:val="11"/>
              <w:numPr>
                <w:ilvl w:val="0"/>
                <w:numId w:val="1"/>
              </w:numPr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项目</w:t>
            </w:r>
          </w:p>
          <w:p w14:paraId="3698C692">
            <w:pPr>
              <w:pStyle w:val="11"/>
              <w:numPr>
                <w:ilvl w:val="0"/>
                <w:numId w:val="0"/>
              </w:numPr>
              <w:spacing w:before="75" w:line="220" w:lineRule="auto"/>
              <w:jc w:val="both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sz w:val="32"/>
                <w:szCs w:val="32"/>
              </w:rPr>
              <w:t>需求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概况</w:t>
            </w:r>
          </w:p>
        </w:tc>
        <w:tc>
          <w:tcPr>
            <w:tcW w:w="8105" w:type="dxa"/>
            <w:vAlign w:val="top"/>
          </w:tcPr>
          <w:p w14:paraId="02801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4042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保障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我院各科室电脑、投影仪、复印机等各种办公设备的正常、平稳运行，按照相关法律法规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办公设备耗材、配件、维修、维保进行采购，以满足我院临床、各行政科室的日常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办公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工作需求。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666" w:type="dxa"/>
            <w:vAlign w:val="center"/>
          </w:tcPr>
          <w:p w14:paraId="318C2E60">
            <w:pPr>
              <w:pStyle w:val="11"/>
              <w:numPr>
                <w:ilvl w:val="0"/>
                <w:numId w:val="1"/>
              </w:numPr>
              <w:spacing w:before="75" w:line="22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资格</w:t>
            </w:r>
          </w:p>
          <w:p w14:paraId="72D816D0">
            <w:pPr>
              <w:pStyle w:val="11"/>
              <w:numPr>
                <w:ilvl w:val="0"/>
                <w:numId w:val="0"/>
              </w:numPr>
              <w:spacing w:before="75" w:line="220" w:lineRule="auto"/>
              <w:ind w:leftChars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资质</w:t>
            </w:r>
            <w:r>
              <w:rPr>
                <w:rFonts w:ascii="宋体" w:hAnsi="宋体" w:eastAsia="宋体" w:cs="宋体"/>
                <w:sz w:val="32"/>
                <w:szCs w:val="32"/>
              </w:rPr>
              <w:t>要求</w:t>
            </w:r>
          </w:p>
        </w:tc>
        <w:tc>
          <w:tcPr>
            <w:tcW w:w="8105" w:type="dxa"/>
            <w:vAlign w:val="top"/>
          </w:tcPr>
          <w:p w14:paraId="664B709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参与项目的供应商必须是合法注册的公司或组织：</w:t>
            </w:r>
          </w:p>
          <w:p w14:paraId="3D88770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1、具备《中华人民共和国政府采购法》第二十二条规定的条件，持有有效的营业执照。</w:t>
            </w:r>
          </w:p>
          <w:p w14:paraId="32FCF55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2、具有履行合同所必须的设备和专业技术能力。</w:t>
            </w:r>
          </w:p>
          <w:p w14:paraId="21E797E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3、对列入失信被执行人、重大税收违法失信主体、政府采购严重违法失信行为记录名单的供应商，拒绝参与本项目，提供查询记录（“信用中国”及“中国政府采购网”查询记录。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3" w:hRule="atLeast"/>
        </w:trPr>
        <w:tc>
          <w:tcPr>
            <w:tcW w:w="1666" w:type="dxa"/>
            <w:vAlign w:val="center"/>
          </w:tcPr>
          <w:p w14:paraId="1234DC1F"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rPr>
                <w:color w:val="auto"/>
                <w:sz w:val="24"/>
                <w:szCs w:val="24"/>
              </w:rPr>
            </w:pPr>
          </w:p>
          <w:p w14:paraId="312BA67A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三、</w:t>
            </w:r>
            <w:r>
              <w:rPr>
                <w:color w:val="auto"/>
                <w:spacing w:val="1"/>
                <w:sz w:val="32"/>
                <w:szCs w:val="32"/>
              </w:rPr>
              <w:t>项目</w:t>
            </w:r>
            <w:r>
              <w:rPr>
                <w:color w:val="auto"/>
                <w:spacing w:val="-1"/>
                <w:sz w:val="32"/>
                <w:szCs w:val="32"/>
              </w:rPr>
              <w:t>技术参数</w:t>
            </w:r>
          </w:p>
        </w:tc>
        <w:tc>
          <w:tcPr>
            <w:tcW w:w="8105" w:type="dxa"/>
            <w:vAlign w:val="top"/>
          </w:tcPr>
          <w:p w14:paraId="73C7FDC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所投产品必须全部达到国家标准，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并完全满足招标参数技术要求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。供应商须确保所供产品属于市场主流知名品牌，具有显著的市场占有率，并具备极强的耐用性与系统稳定性。</w:t>
            </w:r>
          </w:p>
          <w:p w14:paraId="6FE1C0A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80" w:lineRule="exact"/>
              <w:ind w:right="136" w:rightChars="0" w:firstLine="480" w:firstLineChars="200"/>
              <w:jc w:val="both"/>
              <w:textAlignment w:val="baseline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2、提供的配件、耗材均包含安装调试费用。</w:t>
            </w:r>
          </w:p>
          <w:p w14:paraId="3E9D1DA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80" w:lineRule="exact"/>
              <w:ind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中标供应商应按要求对所交付的配件、耗材提供质量保证。在质保期内，若产品出现任何质量问题或故障，均由中标供应商负责免费维修或更换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047A36D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供应商应确保配备技术精湛、经验丰富的维修人员，并严格履行售后服务时效承诺，保障售后服务的及时性与高效性。</w:t>
            </w:r>
          </w:p>
          <w:p w14:paraId="0DAF995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要求提供不少于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名驻场工程师，以确保持续、专业的售后服务。供应商须提交驻场维修人员的相关资质证书。驻场人员实行报备审批制，如需变更，必须提前向信息科提交书面申请，经审核同意后方可更换。</w:t>
            </w:r>
          </w:p>
          <w:p w14:paraId="4F43980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80" w:lineRule="exact"/>
              <w:ind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  <w:lang w:val="en-US" w:eastAsia="zh-CN"/>
              </w:rPr>
              <w:t>6、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</w:rPr>
              <w:t>供应商须提供完善的售后服务保障体系。具体方案需涵盖标准化的售后服务流程、明确的响应时间承诺、本地化服务措施、售后团队的专业能力与从业经验，以及清晰的退换货条件及办理流程。</w:t>
            </w:r>
          </w:p>
          <w:p w14:paraId="53F68EF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60" w:lineRule="exact"/>
              <w:ind w:right="136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、提供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自2020年1月1日以来具有</w:t>
            </w: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机关企事业行政单位、医疗单位等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类似项目</w:t>
            </w: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业绩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(以合同复印件为准）。</w:t>
            </w:r>
          </w:p>
          <w:p w14:paraId="18F68BA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80" w:lineRule="exact"/>
              <w:ind w:right="136" w:rightChars="0" w:firstLine="480" w:firstLineChars="200"/>
              <w:jc w:val="both"/>
              <w:textAlignment w:val="baseline"/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8、具体采购清单见附表。</w:t>
            </w:r>
          </w:p>
          <w:p w14:paraId="2E82CD9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80" w:lineRule="exact"/>
              <w:ind w:right="136" w:rightChars="0" w:firstLine="480" w:firstLineChars="200"/>
              <w:jc w:val="both"/>
              <w:textAlignment w:val="baseline"/>
              <w:rPr>
                <w:rFonts w:hint="default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0" w:hRule="atLeast"/>
        </w:trPr>
        <w:tc>
          <w:tcPr>
            <w:tcW w:w="1666" w:type="dxa"/>
            <w:vAlign w:val="top"/>
          </w:tcPr>
          <w:p w14:paraId="1DE6775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</w:p>
          <w:p w14:paraId="0500201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</w:p>
          <w:p w14:paraId="167A21E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60" w:lineRule="exact"/>
              <w:ind w:leftChars="0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四、商务</w:t>
            </w:r>
          </w:p>
          <w:p w14:paraId="4D5EE26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75" w:line="360" w:lineRule="exact"/>
              <w:ind w:leftChars="0" w:firstLine="644" w:firstLineChars="200"/>
              <w:jc w:val="both"/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要求</w:t>
            </w:r>
          </w:p>
        </w:tc>
        <w:tc>
          <w:tcPr>
            <w:tcW w:w="8105" w:type="dxa"/>
            <w:vAlign w:val="top"/>
          </w:tcPr>
          <w:p w14:paraId="1C378E3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30368A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供应商须根据各科室日常实际需求按需供货。服务期为1年，费用实行按月据实结算。</w:t>
            </w:r>
          </w:p>
          <w:p w14:paraId="5C5415B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48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提供7*24小时技术支持。</w:t>
            </w:r>
          </w:p>
          <w:p w14:paraId="10CBF32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48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费用包含：提供的相关配件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耗材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的安装调试、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在维保期内包修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包换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。所更换的配件和耗材必须为原装正品或同档次及以上品质的产品。所有维修及更换产生的费用均包含在总报价内，按月据实结算时不再产生除实际供货量以外的任何其他费用。</w:t>
            </w:r>
          </w:p>
          <w:p w14:paraId="1FFB81C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供应商须具备履行合同所必需的设备和专业技术能力，并须在投标文件中提供书面承诺函。</w:t>
            </w:r>
          </w:p>
          <w:p w14:paraId="28012C8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若设备出现故障且无法及时更换配件，或需返厂维修从而影响科室正常使用的，供应商必须免费提供备用机或可行的应急解决方案，并须在规定时间内完成原设备的维修工作。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提供的设备在质保期内经2次维修仍存在质量问题的，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成交供应商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必须负责更换。</w:t>
            </w:r>
          </w:p>
          <w:p w14:paraId="47368E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参与竞价的供应商应充分考量本项目实际需求进行合理报价。最低报价并非确认成交的唯一因素。各潜在供应商不得进行恶意低价竞争或扰乱市场秩序，否则采购人有权取消其竞价或成交资格。</w:t>
            </w:r>
          </w:p>
          <w:p w14:paraId="567D7A74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48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成交供应商未按标准履行服务义务发生或被投诉的，经多次批评教育仍不改正的，采购人有权终止合同；成交供应商未按标准履行服务义务，导致采购人业务运行中断而造成损失的，成交供应商负责赔偿。</w:t>
            </w:r>
          </w:p>
          <w:p w14:paraId="489B7EB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违约责任：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若成交供应商因不可抗力无法履行合同、主动放弃成交、未按照竞争性磋商文件要求履约，或被查实存在影响成交结果的违法行为等情形，导致其不符合成交条件的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在合同履约期间，临床科室投诉超过3次不满意或者造成不良后果等各种因素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207ED58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200" w:right="136" w:rightChars="0"/>
              <w:jc w:val="both"/>
              <w:textAlignment w:val="baseline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加入我院黑名单，三年内不允许参加中医院的投标；</w:t>
            </w:r>
          </w:p>
          <w:p w14:paraId="561BC809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200" w:right="136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扣除违约金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shd w:val="clear" w:color="auto" w:fill="FFFFFF"/>
                <w:lang w:val="en-US" w:eastAsia="zh-CN"/>
              </w:rPr>
              <w:t>成交供应商违约金</w:t>
            </w:r>
            <w:r>
              <w:rPr>
                <w:rFonts w:hint="eastAsia" w:cs="宋体"/>
                <w:sz w:val="24"/>
                <w:szCs w:val="24"/>
                <w:shd w:val="clear" w:color="auto" w:fill="FFFFFF"/>
                <w:lang w:val="en-US" w:eastAsia="zh-CN"/>
              </w:rPr>
              <w:t>在合同或者签订协议时约定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；</w:t>
            </w:r>
          </w:p>
          <w:p w14:paraId="176DCD0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Chars="200" w:right="136" w:right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采购人有权按照磋商小组提出的成交候选供应商名单排序，依次确定其他候选供应商为成交供应商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或者不满足条件时重新招标。</w:t>
            </w:r>
          </w:p>
          <w:p w14:paraId="50F1CF91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136" w:rightChars="0" w:firstLine="500" w:firstLineChars="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采购人与成交供应商应自中标（或成交通知书）发出之日起，严格按照竞争性磋商文件规定的时间内完成采购合同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  <w:t>或者协议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</w:rPr>
              <w:t>的签订。</w:t>
            </w:r>
          </w:p>
          <w:p w14:paraId="33274EB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right="136" w:rightChars="0" w:firstLine="500" w:firstLineChars="200"/>
              <w:jc w:val="both"/>
              <w:textAlignment w:val="baseline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60A26"/>
                <w:spacing w:val="5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75F6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666" w:type="dxa"/>
            <w:vAlign w:val="top"/>
          </w:tcPr>
          <w:p w14:paraId="2BCBBE70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rFonts w:hint="default"/>
                <w:color w:val="auto"/>
                <w:spacing w:val="1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pacing w:val="1"/>
                <w:sz w:val="32"/>
                <w:szCs w:val="32"/>
                <w:lang w:val="en-US" w:eastAsia="zh-CN"/>
              </w:rPr>
              <w:t>五、采购现场要求</w:t>
            </w:r>
          </w:p>
        </w:tc>
        <w:tc>
          <w:tcPr>
            <w:tcW w:w="8105" w:type="dxa"/>
            <w:vAlign w:val="center"/>
          </w:tcPr>
          <w:p w14:paraId="792CCD67">
            <w:pPr>
              <w:pStyle w:val="11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1、提供完善的售后服务方案、售后服务承诺函。</w:t>
            </w:r>
          </w:p>
          <w:p w14:paraId="7C3922DF">
            <w:pPr>
              <w:pStyle w:val="11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2、提供维修团队工程师资质、相关业绩。</w:t>
            </w:r>
          </w:p>
          <w:p w14:paraId="1DED9737">
            <w:pPr>
              <w:pStyle w:val="11"/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leftChars="0" w:right="139" w:rightChars="0"/>
              <w:jc w:val="both"/>
              <w:textAlignment w:val="baseline"/>
              <w:rPr>
                <w:rFonts w:hint="default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6C509BC">
      <w:pPr>
        <w:spacing w:line="215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pgSz w:w="11910" w:h="16840"/>
      <w:pgMar w:top="1134" w:right="625" w:bottom="1134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0E4E4"/>
    <w:multiLevelType w:val="multilevel"/>
    <w:tmpl w:val="9E50E4E4"/>
    <w:lvl w:ilvl="0" w:tentative="0">
      <w:start w:val="1"/>
      <w:numFmt w:val="decimal"/>
      <w:suff w:val="space"/>
      <w:lvlText w:val="%1."/>
      <w:lvlJc w:val="left"/>
      <w:pPr>
        <w:ind w:left="57" w:hanging="5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F448C0D4"/>
    <w:multiLevelType w:val="singleLevel"/>
    <w:tmpl w:val="F448C0D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0DABE3E"/>
    <w:multiLevelType w:val="singleLevel"/>
    <w:tmpl w:val="50DAB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11D4A64"/>
    <w:rsid w:val="04CC1615"/>
    <w:rsid w:val="0634526D"/>
    <w:rsid w:val="065B37FC"/>
    <w:rsid w:val="0A652CD8"/>
    <w:rsid w:val="0DEB5033"/>
    <w:rsid w:val="1218192A"/>
    <w:rsid w:val="12805630"/>
    <w:rsid w:val="130378C1"/>
    <w:rsid w:val="16155F88"/>
    <w:rsid w:val="18480EC9"/>
    <w:rsid w:val="2225242F"/>
    <w:rsid w:val="23C727AD"/>
    <w:rsid w:val="27BC5F2F"/>
    <w:rsid w:val="297D798E"/>
    <w:rsid w:val="30F139DA"/>
    <w:rsid w:val="32366A0C"/>
    <w:rsid w:val="340947E1"/>
    <w:rsid w:val="3598340C"/>
    <w:rsid w:val="37F0752F"/>
    <w:rsid w:val="3BC64E1D"/>
    <w:rsid w:val="3C8D44AB"/>
    <w:rsid w:val="410D73A4"/>
    <w:rsid w:val="442171A7"/>
    <w:rsid w:val="458E1F80"/>
    <w:rsid w:val="46831763"/>
    <w:rsid w:val="47B907D2"/>
    <w:rsid w:val="4D1A4577"/>
    <w:rsid w:val="4D613236"/>
    <w:rsid w:val="50116697"/>
    <w:rsid w:val="51F003FF"/>
    <w:rsid w:val="54BB1B63"/>
    <w:rsid w:val="56EB5639"/>
    <w:rsid w:val="582A47E3"/>
    <w:rsid w:val="5970685A"/>
    <w:rsid w:val="597A1686"/>
    <w:rsid w:val="5B9434BE"/>
    <w:rsid w:val="5D064100"/>
    <w:rsid w:val="5E8636AF"/>
    <w:rsid w:val="5FCD3483"/>
    <w:rsid w:val="66C67EF8"/>
    <w:rsid w:val="68830971"/>
    <w:rsid w:val="68CF07EB"/>
    <w:rsid w:val="691C3A21"/>
    <w:rsid w:val="6D4F64E6"/>
    <w:rsid w:val="6F8A37EA"/>
    <w:rsid w:val="6FBF72AC"/>
    <w:rsid w:val="73983492"/>
    <w:rsid w:val="790A2ED0"/>
    <w:rsid w:val="7C3F0ADD"/>
    <w:rsid w:val="7D2F3C22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2"/>
    <w:basedOn w:val="1"/>
    <w:next w:val="3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5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1684</Words>
  <Characters>1690</Characters>
  <TotalTime>12</TotalTime>
  <ScaleCrop>false</ScaleCrop>
  <LinksUpToDate>false</LinksUpToDate>
  <CharactersWithSpaces>1809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2026-05-21T03:18:00Z</cp:lastPrinted>
  <dcterms:modified xsi:type="dcterms:W3CDTF">2026-06-09T01:20:03Z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2052-12.1.0.26375</vt:lpwstr>
  </property>
  <property fmtid="{D5CDD505-2E9C-101B-9397-08002B2CF9AE}" pid="6" name="ICV">
    <vt:lpwstr>27985859E40749D9BB9042A1FC840D17_13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