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AFA50">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院内论证项目需求</w:t>
      </w:r>
    </w:p>
    <w:p w14:paraId="4583016E">
      <w:pPr>
        <w:pStyle w:val="2"/>
        <w:rPr>
          <w:rFonts w:hint="eastAsia"/>
        </w:rPr>
      </w:pPr>
    </w:p>
    <w:p w14:paraId="7987FC95">
      <w:pPr>
        <w:keepNext w:val="0"/>
        <w:keepLines w:val="0"/>
        <w:pageBreakBefore w:val="0"/>
        <w:numPr>
          <w:ilvl w:val="0"/>
          <w:numId w:val="1"/>
        </w:numPr>
        <w:wordWrap/>
        <w:overflowPunct/>
        <w:topLinePunct w:val="0"/>
        <w:bidi w:val="0"/>
        <w:spacing w:line="520" w:lineRule="exact"/>
        <w:ind w:left="0" w:leftChars="0" w:firstLine="0" w:firstLineChars="0"/>
        <w:jc w:val="left"/>
        <w:rPr>
          <w:rFonts w:hint="eastAsia" w:ascii="仿宋" w:hAnsi="仿宋" w:eastAsia="仿宋" w:cs="仿宋"/>
          <w:kern w:val="0"/>
          <w:sz w:val="32"/>
          <w:szCs w:val="32"/>
          <w:lang w:val="en-US" w:eastAsia="zh-CN" w:bidi="ar-SA"/>
        </w:rPr>
      </w:pPr>
      <w:r>
        <w:rPr>
          <w:rFonts w:hint="eastAsia" w:ascii="黑体" w:hAnsi="黑体" w:eastAsia="黑体" w:cs="黑体"/>
          <w:b w:val="0"/>
          <w:bCs/>
          <w:kern w:val="0"/>
          <w:sz w:val="32"/>
          <w:szCs w:val="32"/>
          <w:lang w:val="en-US" w:eastAsia="zh-CN" w:bidi="ar-SA"/>
        </w:rPr>
        <w:t>资质要求</w:t>
      </w:r>
    </w:p>
    <w:p w14:paraId="24AA10C7">
      <w:pPr>
        <w:keepNext w:val="0"/>
        <w:keepLines w:val="0"/>
        <w:pageBreakBefore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1.参与竞价单位具备《中华人民共和国政府采购法》第二十二条规定的条件</w:t>
      </w:r>
    </w:p>
    <w:p w14:paraId="256A3148">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须具备有效期内第二类医疗器械经营备案凭证及《医疗器械经营许可证》，满足医疗设备维保合规经营要求；工程师必须具备彩超设备专业维保能力，拥有固定持证维修工程师团队，可提供工程师资质证书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保证服务过程的安全性</w:t>
      </w:r>
      <w:r>
        <w:rPr>
          <w:rFonts w:hint="eastAsia" w:ascii="仿宋_GB2312" w:hAnsi="仿宋_GB2312" w:eastAsia="仿宋_GB2312" w:cs="仿宋_GB2312"/>
          <w:sz w:val="32"/>
          <w:szCs w:val="32"/>
          <w:lang w:eastAsia="zh-CN"/>
        </w:rPr>
        <w:t>。</w:t>
      </w:r>
    </w:p>
    <w:p w14:paraId="2C2C4347">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3.</w:t>
      </w:r>
      <w:r>
        <w:rPr>
          <w:rFonts w:hint="eastAsia" w:ascii="仿宋_GB2312" w:hAnsi="仿宋_GB2312" w:eastAsia="仿宋_GB2312" w:cs="仿宋_GB2312"/>
          <w:sz w:val="32"/>
          <w:szCs w:val="32"/>
        </w:rPr>
        <w:t>须具有医疗设备维修、保养、装配、调试等的企业能力，具有相关专业维修工具和设备（提供工具清单及实物图片）；</w:t>
      </w:r>
    </w:p>
    <w:p w14:paraId="14509E7B">
      <w:pPr>
        <w:pStyle w:val="14"/>
        <w:keepNext w:val="0"/>
        <w:keepLines w:val="0"/>
        <w:pageBreakBefore w:val="0"/>
        <w:widowControl/>
        <w:numPr>
          <w:ilvl w:val="0"/>
          <w:numId w:val="0"/>
        </w:numPr>
        <w:kinsoku w:val="0"/>
        <w:wordWrap/>
        <w:overflowPunct/>
        <w:topLinePunct w:val="0"/>
        <w:autoSpaceDE w:val="0"/>
        <w:autoSpaceDN w:val="0"/>
        <w:bidi w:val="0"/>
        <w:adjustRightInd w:val="0"/>
        <w:snapToGrid w:val="0"/>
        <w:spacing w:before="36" w:line="520" w:lineRule="exact"/>
        <w:ind w:right="139" w:rightChars="0" w:firstLine="640" w:firstLineChars="200"/>
        <w:jc w:val="both"/>
        <w:textAlignment w:val="baseline"/>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4.供应商应提供近三年其中一年的经审计的财务报告或者其基本开户银行出具的资信证明;采购活动前近三个月内或上个季度任一个月的依法缴纳税收的凭据和缴纳社会保险的凭据;依法免税或不需要缴纳社会保障资金的供应商，应提供相应文件证明其依法免税或不需要缴纳社会保障资金。</w:t>
      </w:r>
    </w:p>
    <w:p w14:paraId="32EDDFE9">
      <w:pPr>
        <w:pStyle w:val="14"/>
        <w:keepNext w:val="0"/>
        <w:keepLines w:val="0"/>
        <w:pageBreakBefore w:val="0"/>
        <w:widowControl/>
        <w:numPr>
          <w:ilvl w:val="0"/>
          <w:numId w:val="0"/>
        </w:numPr>
        <w:kinsoku w:val="0"/>
        <w:wordWrap/>
        <w:overflowPunct/>
        <w:topLinePunct w:val="0"/>
        <w:autoSpaceDE w:val="0"/>
        <w:autoSpaceDN w:val="0"/>
        <w:bidi w:val="0"/>
        <w:adjustRightInd w:val="0"/>
        <w:snapToGrid w:val="0"/>
        <w:spacing w:before="36" w:line="520" w:lineRule="exact"/>
        <w:ind w:right="139" w:rightChars="0" w:firstLine="640" w:firstLineChars="200"/>
        <w:jc w:val="both"/>
        <w:textAlignment w:val="baseline"/>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5.对列入失信被执行人、重大税收违法失信主体、政府采购严重违法失信行为记录名单的供应商，拒绝参与本项目，提供查询记录。</w:t>
      </w:r>
    </w:p>
    <w:p w14:paraId="1C677397">
      <w:pPr>
        <w:keepNext w:val="0"/>
        <w:keepLines w:val="0"/>
        <w:pageBreakBefore w:val="0"/>
        <w:numPr>
          <w:ilvl w:val="0"/>
          <w:numId w:val="0"/>
        </w:numPr>
        <w:wordWrap/>
        <w:overflowPunct/>
        <w:topLinePunct w:val="0"/>
        <w:bidi w:val="0"/>
        <w:spacing w:line="520" w:lineRule="exact"/>
        <w:jc w:val="left"/>
        <w:rPr>
          <w:rFonts w:hint="eastAsia" w:ascii="仿宋" w:hAnsi="仿宋" w:eastAsia="仿宋" w:cs="仿宋"/>
          <w:sz w:val="32"/>
          <w:szCs w:val="32"/>
          <w:lang w:val="en-US" w:eastAsia="zh-CN"/>
        </w:rPr>
      </w:pPr>
      <w:r>
        <w:rPr>
          <w:rFonts w:hint="eastAsia" w:ascii="黑体" w:hAnsi="黑体" w:eastAsia="黑体" w:cs="黑体"/>
          <w:b w:val="0"/>
          <w:bCs/>
          <w:kern w:val="0"/>
          <w:sz w:val="32"/>
          <w:szCs w:val="32"/>
          <w:lang w:val="en-US" w:eastAsia="zh-CN" w:bidi="ar-SA"/>
        </w:rPr>
        <w:t>二、项目具体技术要求</w:t>
      </w:r>
    </w:p>
    <w:p w14:paraId="3D423BD1">
      <w:pPr>
        <w:keepNext w:val="0"/>
        <w:keepLines w:val="0"/>
        <w:pageBreakBefore w:val="0"/>
        <w:widowControl/>
        <w:kinsoku/>
        <w:wordWrap/>
        <w:overflowPunct/>
        <w:topLinePunct w:val="0"/>
        <w:autoSpaceDE/>
        <w:autoSpaceDN/>
        <w:bidi w:val="0"/>
        <w:adjustRightInd/>
        <w:snapToGrid/>
        <w:spacing w:line="520" w:lineRule="exact"/>
        <w:ind w:left="322" w:leftChars="1" w:hanging="320" w:hangingChars="1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lang w:val="en-US" w:eastAsia="zh-CN" w:bidi="ar-SA"/>
        </w:rPr>
        <w:t>1.</w:t>
      </w:r>
      <w:r>
        <w:rPr>
          <w:rFonts w:hint="eastAsia" w:ascii="仿宋_GB2312" w:hAnsi="仿宋_GB2312" w:eastAsia="仿宋_GB2312" w:cs="仿宋_GB2312"/>
          <w:sz w:val="32"/>
          <w:szCs w:val="32"/>
        </w:rPr>
        <w:t xml:space="preserve">超声科彩超机维保全保服务范围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故障维修服务：设备出现硬件及软件故障：探头故障</w:t>
      </w:r>
      <w:r>
        <w:rPr>
          <w:rFonts w:hint="eastAsia" w:ascii="仿宋_GB2312" w:hAnsi="仿宋_GB2312" w:eastAsia="仿宋_GB2312" w:cs="仿宋_GB2312"/>
          <w:sz w:val="32"/>
          <w:szCs w:val="32"/>
          <w:lang w:eastAsia="zh-CN"/>
        </w:rPr>
        <w:t>、</w:t>
      </w:r>
    </w:p>
    <w:p w14:paraId="2EE27964">
      <w:pPr>
        <w:keepNext w:val="0"/>
        <w:keepLines w:val="0"/>
        <w:pageBreakBefore w:val="0"/>
        <w:widowControl/>
        <w:kinsoku/>
        <w:wordWrap/>
        <w:overflowPunct/>
        <w:topLinePunct w:val="0"/>
        <w:autoSpaceDE/>
        <w:autoSpaceDN/>
        <w:bidi w:val="0"/>
        <w:adjustRightInd/>
        <w:snapToGrid/>
        <w:spacing w:line="520" w:lineRule="exact"/>
        <w:ind w:left="322" w:leftChars="1" w:hanging="320" w:hangingChars="1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显示器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键盘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控制面板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硬盘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系统软件报错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图像</w:t>
      </w:r>
    </w:p>
    <w:p w14:paraId="1D160570">
      <w:pPr>
        <w:keepNext w:val="0"/>
        <w:keepLines w:val="0"/>
        <w:pageBreakBefore w:val="0"/>
        <w:widowControl/>
        <w:kinsoku/>
        <w:wordWrap/>
        <w:overflowPunct/>
        <w:topLinePunct w:val="0"/>
        <w:autoSpaceDE/>
        <w:autoSpaceDN/>
        <w:bidi w:val="0"/>
        <w:adjustRightInd/>
        <w:snapToGrid/>
        <w:spacing w:line="520" w:lineRule="exact"/>
        <w:ind w:left="322" w:leftChars="1" w:hanging="320" w:hangingChars="1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异常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死机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报错代码。故障上门检修，故障排查，故障部件</w:t>
      </w:r>
    </w:p>
    <w:p w14:paraId="4F2F0518">
      <w:pPr>
        <w:keepNext w:val="0"/>
        <w:keepLines w:val="0"/>
        <w:pageBreakBefore w:val="0"/>
        <w:widowControl/>
        <w:kinsoku/>
        <w:wordWrap/>
        <w:overflowPunct/>
        <w:topLinePunct w:val="0"/>
        <w:autoSpaceDE/>
        <w:autoSpaceDN/>
        <w:bidi w:val="0"/>
        <w:adjustRightInd/>
        <w:snapToGrid/>
        <w:spacing w:line="520" w:lineRule="exact"/>
        <w:ind w:left="322" w:leftChars="1" w:hanging="320" w:hangingChars="1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更换。                        </w:t>
      </w:r>
    </w:p>
    <w:p w14:paraId="7F55C53D">
      <w:pPr>
        <w:keepNext w:val="0"/>
        <w:keepLines w:val="0"/>
        <w:pageBreakBefore w:val="0"/>
        <w:widowControl/>
        <w:kinsoku/>
        <w:wordWrap/>
        <w:overflowPunct/>
        <w:topLinePunct w:val="0"/>
        <w:autoSpaceDE/>
        <w:autoSpaceDN/>
        <w:bidi w:val="0"/>
        <w:adjustRightInd/>
        <w:snapToGrid/>
        <w:spacing w:line="520" w:lineRule="exact"/>
        <w:ind w:firstLine="320" w:firstLineChars="1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探头保障：探头线缆破损，匹配层破损，阵元损坏，图像缺损，伪像，探头老化</w:t>
      </w:r>
      <w:r>
        <w:rPr>
          <w:rFonts w:hint="eastAsia" w:ascii="仿宋_GB2312" w:hAnsi="仿宋_GB2312" w:eastAsia="仿宋_GB2312" w:cs="仿宋_GB2312"/>
          <w:sz w:val="32"/>
          <w:szCs w:val="32"/>
          <w:lang w:val="en-US" w:eastAsia="zh-CN"/>
        </w:rPr>
        <w:t>故障</w:t>
      </w:r>
      <w:r>
        <w:rPr>
          <w:rFonts w:hint="eastAsia" w:ascii="仿宋_GB2312" w:hAnsi="仿宋_GB2312" w:eastAsia="仿宋_GB2312" w:cs="仿宋_GB2312"/>
          <w:sz w:val="32"/>
          <w:szCs w:val="32"/>
        </w:rPr>
        <w:t xml:space="preserve">。探头检测、维修，必要时探头更换。                                    </w:t>
      </w:r>
    </w:p>
    <w:p w14:paraId="54FF3B4B">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320" w:firstLineChars="1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软件系统保障：系统软件故障修复，系统重装，软件版本升级参数较。设备报错，系统崩溃，数据库异常处理。</w:t>
      </w:r>
    </w:p>
    <w:p w14:paraId="6111BBD8">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320" w:firstLineChars="1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）属于全保范围但不限于以上内容的维保活动均应包含在内。</w:t>
      </w:r>
    </w:p>
    <w:p w14:paraId="4213972F">
      <w:pPr>
        <w:keepNext w:val="0"/>
        <w:keepLines w:val="0"/>
        <w:pageBreakBefore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2.技术要求</w:t>
      </w:r>
    </w:p>
    <w:p w14:paraId="162CACCC">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按全年365日历天计算，保修期内开机率≥95%，若停机不满一日历天按一日历天计算；若开机率低于95%，每超过一天维保期顺延两天；</w:t>
      </w:r>
    </w:p>
    <w:p w14:paraId="6A73AFF3">
      <w:pPr>
        <w:keepNext w:val="0"/>
        <w:keepLines w:val="0"/>
        <w:pageBreakBefore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p>
    <w:p w14:paraId="7FE997F4">
      <w:pPr>
        <w:keepNext w:val="0"/>
        <w:keepLines w:val="0"/>
        <w:pageBreakBefore w:val="0"/>
        <w:kinsoku/>
        <w:wordWrap/>
        <w:overflowPunct/>
        <w:topLinePunct w:val="0"/>
        <w:autoSpaceDE/>
        <w:autoSpaceDN/>
        <w:bidi w:val="0"/>
        <w:adjustRightInd/>
        <w:snapToGrid/>
        <w:spacing w:line="52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定期维护与保养次数≥4次/年，并提供符合厂技术要求的维修、保养报告；提供设备维修的历史记录服务报告及设备维护保养的历史记录服务报告</w:t>
      </w:r>
      <w:r>
        <w:rPr>
          <w:rFonts w:hint="eastAsia" w:ascii="仿宋_GB2312" w:hAnsi="仿宋_GB2312" w:eastAsia="仿宋_GB2312" w:cs="仿宋_GB2312"/>
          <w:sz w:val="32"/>
          <w:szCs w:val="32"/>
          <w:lang w:val="en-AU"/>
        </w:rPr>
        <w:t>等</w:t>
      </w:r>
      <w:r>
        <w:rPr>
          <w:rFonts w:hint="eastAsia" w:ascii="仿宋_GB2312" w:hAnsi="仿宋_GB2312" w:eastAsia="仿宋_GB2312" w:cs="仿宋_GB2312"/>
          <w:sz w:val="32"/>
          <w:szCs w:val="32"/>
        </w:rPr>
        <w:t>；定期维护服务检测包括机器清洁、性能测试及校准，以及非紧急性质的预防性维护和确保系统能按照设备的产品规格运行的其他维护；</w:t>
      </w:r>
    </w:p>
    <w:p w14:paraId="405F0224">
      <w:pPr>
        <w:keepNext w:val="0"/>
        <w:keepLines w:val="0"/>
        <w:pageBreakBefore w:val="0"/>
        <w:kinsoku/>
        <w:wordWrap/>
        <w:overflowPunct/>
        <w:topLinePunct w:val="0"/>
        <w:autoSpaceDE/>
        <w:autoSpaceDN/>
        <w:bidi w:val="0"/>
        <w:adjustRightInd/>
        <w:snapToGrid/>
        <w:spacing w:line="52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每次维护保养后，提供详细的服务报告；</w:t>
      </w:r>
    </w:p>
    <w:p w14:paraId="3EB6C2B4">
      <w:pPr>
        <w:keepNext w:val="0"/>
        <w:keepLines w:val="0"/>
        <w:pageBreakBefore w:val="0"/>
        <w:kinsoku/>
        <w:wordWrap/>
        <w:overflowPunct/>
        <w:topLinePunct w:val="0"/>
        <w:autoSpaceDE/>
        <w:autoSpaceDN/>
        <w:bidi w:val="0"/>
        <w:adjustRightInd/>
        <w:snapToGrid/>
        <w:spacing w:line="52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根据设备运行要求提供不限次数的人工技术服务及无限次免费工时及派工、无限次现场维修、备件更换；</w:t>
      </w:r>
    </w:p>
    <w:p w14:paraId="707C5E7F">
      <w:pPr>
        <w:keepNext w:val="0"/>
        <w:keepLines w:val="0"/>
        <w:pageBreakBefore w:val="0"/>
        <w:kinsoku/>
        <w:wordWrap/>
        <w:overflowPunct/>
        <w:topLinePunct w:val="0"/>
        <w:autoSpaceDE/>
        <w:autoSpaceDN/>
        <w:bidi w:val="0"/>
        <w:adjustRightInd/>
        <w:snapToGrid/>
        <w:spacing w:line="52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7×24小时免费服务热线，当设备出现故障报修时，接到故障报修电话后30分钟内响应，工程师24小时到达现场进行维修；停机情况下，8小时内到达现场进行维修；小型故障1天内修好，中型故障2天内修好、大型故障4天内修好；</w:t>
      </w:r>
    </w:p>
    <w:p w14:paraId="71353742">
      <w:pPr>
        <w:keepNext w:val="0"/>
        <w:keepLines w:val="0"/>
        <w:pageBreakBefore w:val="0"/>
        <w:kinsoku/>
        <w:wordWrap/>
        <w:overflowPunct/>
        <w:topLinePunct w:val="0"/>
        <w:autoSpaceDE/>
        <w:autoSpaceDN/>
        <w:bidi w:val="0"/>
        <w:adjustRightInd/>
        <w:snapToGrid/>
        <w:spacing w:line="52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每次维修后均需进行质量测试，并出具维修测试总结报告，内容至少包含：故障现象、故障原因、解决方案、配件更换记录等内容，确保符合相关国家或行业标准要求；</w:t>
      </w:r>
    </w:p>
    <w:p w14:paraId="6BD4FD9F">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320" w:firstLineChars="1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每年提供详细的服务总结报告，至少包含维保、维修、巡检等所有服务项目次数和具体内容，配件更换明细（含名称、规格、型号、数量、单价，金额）等。</w:t>
      </w:r>
    </w:p>
    <w:p w14:paraId="25A794F5">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3.配件更换要求</w:t>
      </w:r>
    </w:p>
    <w:p w14:paraId="07C6D7FA">
      <w:pPr>
        <w:keepNext w:val="0"/>
        <w:keepLines w:val="0"/>
        <w:pageBreakBefore w:val="0"/>
        <w:kinsoku/>
        <w:wordWrap/>
        <w:overflowPunct/>
        <w:topLinePunct w:val="0"/>
        <w:autoSpaceDE/>
        <w:autoSpaceDN/>
        <w:bidi w:val="0"/>
        <w:adjustRightInd/>
        <w:snapToGrid/>
        <w:spacing w:line="52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服务期内需要更换零备件（</w:t>
      </w:r>
      <w:r>
        <w:rPr>
          <w:rFonts w:hint="eastAsia" w:ascii="仿宋_GB2312" w:hAnsi="仿宋_GB2312" w:eastAsia="仿宋_GB2312" w:cs="仿宋_GB2312"/>
          <w:sz w:val="32"/>
          <w:szCs w:val="32"/>
          <w:lang w:val="en-US" w:eastAsia="zh-CN"/>
        </w:rPr>
        <w:t>主机、</w:t>
      </w:r>
      <w:r>
        <w:rPr>
          <w:rFonts w:hint="eastAsia" w:ascii="仿宋_GB2312" w:hAnsi="仿宋_GB2312" w:eastAsia="仿宋_GB2312" w:cs="仿宋_GB2312"/>
          <w:sz w:val="32"/>
          <w:szCs w:val="32"/>
        </w:rPr>
        <w:t>各类专用探头），零备件到达医院的时间不得超过48小时；</w:t>
      </w:r>
    </w:p>
    <w:p w14:paraId="15707C4A">
      <w:pPr>
        <w:keepNext w:val="0"/>
        <w:keepLines w:val="0"/>
        <w:pageBreakBefore w:val="0"/>
        <w:kinsoku/>
        <w:wordWrap/>
        <w:overflowPunct/>
        <w:topLinePunct w:val="0"/>
        <w:autoSpaceDE/>
        <w:autoSpaceDN/>
        <w:bidi w:val="0"/>
        <w:adjustRightInd/>
        <w:snapToGrid/>
        <w:spacing w:line="520" w:lineRule="exact"/>
        <w:ind w:firstLine="320" w:firstLineChars="1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更换的备件应为同一生产厂家同一设备型号一致的原厂出库标准备件（提供相关质量合格证书），安装完毕后达到设备运行标准与使用标准；</w:t>
      </w:r>
    </w:p>
    <w:p w14:paraId="5CA30E95">
      <w:pPr>
        <w:keepNext w:val="0"/>
        <w:keepLines w:val="0"/>
        <w:pageBreakBefore w:val="0"/>
        <w:kinsoku/>
        <w:wordWrap/>
        <w:overflowPunct/>
        <w:topLinePunct w:val="0"/>
        <w:autoSpaceDE/>
        <w:autoSpaceDN/>
        <w:bidi w:val="0"/>
        <w:adjustRightInd/>
        <w:snapToGrid/>
        <w:spacing w:line="520" w:lineRule="exact"/>
        <w:ind w:firstLine="320" w:firstLineChars="1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维修后包含但不限于性能测试（提供测试报告）、除尘保养、运行状态检查以及设备清洁、设备校准等，排除一切安全隐患及潜在的故障因素</w:t>
      </w:r>
      <w:r>
        <w:rPr>
          <w:rFonts w:hint="eastAsia" w:ascii="仿宋_GB2312" w:hAnsi="仿宋_GB2312" w:eastAsia="仿宋_GB2312" w:cs="仿宋_GB2312"/>
          <w:sz w:val="32"/>
          <w:szCs w:val="32"/>
          <w:lang w:eastAsia="zh-CN"/>
        </w:rPr>
        <w:t>。</w:t>
      </w:r>
    </w:p>
    <w:p w14:paraId="22023C8F">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4.安全要求</w:t>
      </w:r>
    </w:p>
    <w:p w14:paraId="47F5D207">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响应服务（及产品）应符合国家、行业的各项安全标准，投标人对响应服务（及涉产品）的安全性承担全部责任；服务期内不符合保障人身、财产安全的国家标准、行业标准的服务（及产品）将依法承担民事及相应刑事责任，合同履行中的安全责任由投标人承担全部责任。</w:t>
      </w:r>
    </w:p>
    <w:p w14:paraId="66A013F4">
      <w:pPr>
        <w:pStyle w:val="7"/>
        <w:keepNext w:val="0"/>
        <w:keepLines w:val="0"/>
        <w:pageBreakBefore w:val="0"/>
        <w:numPr>
          <w:ilvl w:val="0"/>
          <w:numId w:val="0"/>
        </w:numPr>
        <w:shd w:val="clear" w:color="auto" w:fill="FFFFFF"/>
        <w:wordWrap/>
        <w:overflowPunct/>
        <w:topLinePunct w:val="0"/>
        <w:bidi w:val="0"/>
        <w:spacing w:before="0" w:beforeAutospacing="0" w:after="0" w:afterAutospacing="0" w:line="520" w:lineRule="exact"/>
        <w:ind w:leftChars="0"/>
        <w:jc w:val="both"/>
        <w:rPr>
          <w:rFonts w:hint="eastAsia" w:ascii="仿宋" w:hAnsi="仿宋" w:eastAsia="仿宋" w:cs="仿宋"/>
          <w:sz w:val="32"/>
          <w:szCs w:val="32"/>
          <w:lang w:val="en-US" w:eastAsia="zh-CN"/>
        </w:rPr>
      </w:pPr>
      <w:r>
        <w:rPr>
          <w:rFonts w:hint="eastAsia" w:ascii="黑体" w:hAnsi="黑体" w:eastAsia="黑体" w:cs="黑体"/>
          <w:b w:val="0"/>
          <w:bCs/>
          <w:kern w:val="0"/>
          <w:sz w:val="32"/>
          <w:szCs w:val="32"/>
          <w:lang w:val="en-US" w:eastAsia="zh-CN" w:bidi="ar-SA"/>
        </w:rPr>
        <w:t>五、商务要求</w:t>
      </w:r>
    </w:p>
    <w:p w14:paraId="6D688D7F">
      <w:pPr>
        <w:pStyle w:val="7"/>
        <w:keepNext w:val="0"/>
        <w:keepLines w:val="0"/>
        <w:pageBreakBefore w:val="0"/>
        <w:widowControl/>
        <w:numPr>
          <w:ilvl w:val="0"/>
          <w:numId w:val="0"/>
        </w:numPr>
        <w:shd w:val="clear" w:color="auto" w:fill="FFFFFF"/>
        <w:wordWrap/>
        <w:overflowPunct/>
        <w:topLinePunct w:val="0"/>
        <w:bidi w:val="0"/>
        <w:spacing w:before="0" w:beforeAutospacing="0" w:after="0" w:afterAutospacing="0" w:line="520" w:lineRule="exact"/>
        <w:ind w:firstLine="640"/>
        <w:jc w:val="both"/>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1.服务期限为3年，合同1年一签；</w:t>
      </w:r>
    </w:p>
    <w:p w14:paraId="4FC23395">
      <w:pPr>
        <w:pStyle w:val="7"/>
        <w:keepNext w:val="0"/>
        <w:keepLines w:val="0"/>
        <w:pageBreakBefore w:val="0"/>
        <w:widowControl/>
        <w:numPr>
          <w:ilvl w:val="0"/>
          <w:numId w:val="0"/>
        </w:numPr>
        <w:shd w:val="clear" w:color="auto" w:fill="FFFFFF"/>
        <w:wordWrap/>
        <w:overflowPunct/>
        <w:topLinePunct w:val="0"/>
        <w:bidi w:val="0"/>
        <w:spacing w:before="0" w:beforeAutospacing="0" w:after="0" w:afterAutospacing="0" w:line="520" w:lineRule="exact"/>
        <w:ind w:firstLine="640"/>
        <w:jc w:val="both"/>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2.服务地点：驻马店市中医院；</w:t>
      </w:r>
    </w:p>
    <w:p w14:paraId="34834572">
      <w:pPr>
        <w:pStyle w:val="7"/>
        <w:keepNext w:val="0"/>
        <w:keepLines w:val="0"/>
        <w:pageBreakBefore w:val="0"/>
        <w:widowControl/>
        <w:numPr>
          <w:ilvl w:val="0"/>
          <w:numId w:val="0"/>
        </w:numPr>
        <w:shd w:val="clear" w:color="auto" w:fill="FFFFFF"/>
        <w:wordWrap/>
        <w:overflowPunct/>
        <w:topLinePunct w:val="0"/>
        <w:bidi w:val="0"/>
        <w:spacing w:before="0" w:beforeAutospacing="0" w:after="0" w:afterAutospacing="0" w:line="520" w:lineRule="exact"/>
        <w:ind w:firstLine="640"/>
        <w:jc w:val="both"/>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3.付款方式按合同约定。</w:t>
      </w:r>
    </w:p>
    <w:p w14:paraId="04A01939">
      <w:pPr>
        <w:keepNext w:val="0"/>
        <w:keepLines w:val="0"/>
        <w:pageBreakBefore w:val="0"/>
        <w:widowControl w:val="0"/>
        <w:numPr>
          <w:ilvl w:val="0"/>
          <w:numId w:val="0"/>
        </w:numPr>
        <w:kinsoku/>
        <w:wordWrap/>
        <w:overflowPunct/>
        <w:topLinePunct w:val="0"/>
        <w:autoSpaceDE/>
        <w:autoSpaceDN/>
        <w:bidi w:val="0"/>
        <w:adjustRightInd/>
        <w:snapToGrid/>
        <w:spacing w:beforeAutospacing="0" w:after="80" w:afterAutospacing="0" w:line="700" w:lineRule="exact"/>
        <w:ind w:left="479" w:leftChars="228" w:firstLine="640" w:firstLineChars="200"/>
        <w:textAlignment w:val="auto"/>
        <w:rPr>
          <w:rFonts w:hint="eastAsia" w:ascii="仿宋" w:hAnsi="仿宋" w:eastAsia="仿宋" w:cs="仿宋"/>
          <w:sz w:val="32"/>
          <w:szCs w:val="32"/>
          <w:lang w:val="en-US" w:eastAsia="zh-CN"/>
        </w:rPr>
      </w:pPr>
      <w:bookmarkStart w:id="0" w:name="_GoBack"/>
      <w:bookmarkEnd w:id="0"/>
      <w:r>
        <w:rPr>
          <w:rFonts w:hint="eastAsia" w:ascii="仿宋_GB2312" w:hAnsi="仿宋_GB2312" w:eastAsia="仿宋_GB2312" w:cs="仿宋_GB2312"/>
          <w:snapToGrid w:val="0"/>
          <w:color w:val="auto"/>
          <w:kern w:val="0"/>
          <w:sz w:val="32"/>
          <w:szCs w:val="32"/>
          <w:lang w:val="en-US" w:eastAsia="zh-CN" w:bidi="ar-SA"/>
        </w:rPr>
        <w:t xml:space="preserve"> </w:t>
      </w:r>
      <w:r>
        <w:rPr>
          <w:rFonts w:hint="eastAsia" w:ascii="仿宋" w:hAnsi="仿宋" w:eastAsia="仿宋" w:cs="仿宋"/>
          <w:snapToGrid w:val="0"/>
          <w:color w:val="auto"/>
          <w:kern w:val="0"/>
          <w:sz w:val="32"/>
          <w:szCs w:val="32"/>
          <w:lang w:val="en-US" w:eastAsia="zh-CN" w:bidi="ar-SA"/>
        </w:rPr>
        <w:t xml:space="preserve">    </w:t>
      </w:r>
    </w:p>
    <w:p w14:paraId="070555BE">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600" w:lineRule="exact"/>
        <w:ind w:left="480" w:leftChars="0"/>
        <w:jc w:val="both"/>
        <w:textAlignment w:val="auto"/>
        <w:rPr>
          <w:rFonts w:hint="eastAsia" w:ascii="仿宋" w:hAnsi="仿宋" w:eastAsia="仿宋" w:cs="仿宋"/>
          <w:color w:val="FF0000"/>
          <w:sz w:val="32"/>
          <w:szCs w:val="32"/>
          <w:lang w:val="en-US" w:eastAsia="zh-CN"/>
        </w:rPr>
      </w:pPr>
    </w:p>
    <w:sectPr>
      <w:headerReference r:id="rId3" w:type="default"/>
      <w:footerReference r:id="rId4" w:type="default"/>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393612C-0F03-421B-913A-EC982D7DF5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102D10A1-D687-422E-B05F-915C75148848}"/>
  </w:font>
  <w:font w:name="方正小标宋简体">
    <w:panose1 w:val="02000000000000000000"/>
    <w:charset w:val="86"/>
    <w:family w:val="auto"/>
    <w:pitch w:val="default"/>
    <w:sig w:usb0="00000001" w:usb1="08000000" w:usb2="00000000" w:usb3="00000000" w:csb0="00040000" w:csb1="00000000"/>
    <w:embedRegular r:id="rId3" w:fontKey="{2DC3BEFA-0A50-4124-B28C-F91FC736D633}"/>
  </w:font>
  <w:font w:name="仿宋">
    <w:panose1 w:val="02010609060101010101"/>
    <w:charset w:val="86"/>
    <w:family w:val="auto"/>
    <w:pitch w:val="default"/>
    <w:sig w:usb0="800002BF" w:usb1="38CF7CFA" w:usb2="00000016" w:usb3="00000000" w:csb0="00040001" w:csb1="00000000"/>
    <w:embedRegular r:id="rId4" w:fontKey="{CFA5B4C9-BC23-49AF-B250-CB877156876F}"/>
  </w:font>
  <w:font w:name="WPSEMBED8">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9BC8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326C46">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326C46">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748C0">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3B8CF4"/>
    <w:multiLevelType w:val="singleLevel"/>
    <w:tmpl w:val="2A3B8CF4"/>
    <w:lvl w:ilvl="0" w:tentative="0">
      <w:start w:val="1"/>
      <w:numFmt w:val="chineseCounting"/>
      <w:suff w:val="nothing"/>
      <w:lvlText w:val="%1、"/>
      <w:lvlJc w:val="left"/>
      <w:rPr>
        <w:rFonts w:hint="eastAsia" w:ascii="黑体" w:hAnsi="黑体" w:eastAsia="黑体" w:cs="黑体"/>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yNGU5MjFiZWU2ZTkyMTZhZDU5NDk5ZTg5NzZkMzcifQ=="/>
  </w:docVars>
  <w:rsids>
    <w:rsidRoot w:val="4948794F"/>
    <w:rsid w:val="00093C7F"/>
    <w:rsid w:val="00215B57"/>
    <w:rsid w:val="003019F6"/>
    <w:rsid w:val="0030541B"/>
    <w:rsid w:val="0048174C"/>
    <w:rsid w:val="004F711F"/>
    <w:rsid w:val="00772F97"/>
    <w:rsid w:val="00844180"/>
    <w:rsid w:val="0091137E"/>
    <w:rsid w:val="00D464D7"/>
    <w:rsid w:val="00DE50CC"/>
    <w:rsid w:val="00FF4D38"/>
    <w:rsid w:val="01A16259"/>
    <w:rsid w:val="01FC791F"/>
    <w:rsid w:val="046B47BF"/>
    <w:rsid w:val="048900BC"/>
    <w:rsid w:val="059027D0"/>
    <w:rsid w:val="05D67331"/>
    <w:rsid w:val="062E0F1B"/>
    <w:rsid w:val="06A020A3"/>
    <w:rsid w:val="08093F7D"/>
    <w:rsid w:val="0ACA0B50"/>
    <w:rsid w:val="11571C59"/>
    <w:rsid w:val="13AD3D61"/>
    <w:rsid w:val="16085872"/>
    <w:rsid w:val="18A54590"/>
    <w:rsid w:val="196F567B"/>
    <w:rsid w:val="19B73C89"/>
    <w:rsid w:val="1E457C68"/>
    <w:rsid w:val="1EBE7B4F"/>
    <w:rsid w:val="201115E5"/>
    <w:rsid w:val="20120B0E"/>
    <w:rsid w:val="20AC4867"/>
    <w:rsid w:val="20C410A0"/>
    <w:rsid w:val="210D3CD7"/>
    <w:rsid w:val="21BE43AB"/>
    <w:rsid w:val="24B9380F"/>
    <w:rsid w:val="2572277A"/>
    <w:rsid w:val="293D2058"/>
    <w:rsid w:val="2A24242F"/>
    <w:rsid w:val="33D97E69"/>
    <w:rsid w:val="34F217F6"/>
    <w:rsid w:val="374446F2"/>
    <w:rsid w:val="3AFF6407"/>
    <w:rsid w:val="3BF865ED"/>
    <w:rsid w:val="3C506440"/>
    <w:rsid w:val="3DC239AC"/>
    <w:rsid w:val="405342D0"/>
    <w:rsid w:val="462C02CC"/>
    <w:rsid w:val="4693012C"/>
    <w:rsid w:val="48A44149"/>
    <w:rsid w:val="48EB4FF9"/>
    <w:rsid w:val="4948794F"/>
    <w:rsid w:val="4B356E93"/>
    <w:rsid w:val="4EF81981"/>
    <w:rsid w:val="4F061DBB"/>
    <w:rsid w:val="50AC4ED0"/>
    <w:rsid w:val="513828B5"/>
    <w:rsid w:val="57256D9D"/>
    <w:rsid w:val="60137CAB"/>
    <w:rsid w:val="6063452C"/>
    <w:rsid w:val="60806DF2"/>
    <w:rsid w:val="62A6618A"/>
    <w:rsid w:val="64A9629C"/>
    <w:rsid w:val="6511717A"/>
    <w:rsid w:val="680E175C"/>
    <w:rsid w:val="694B7418"/>
    <w:rsid w:val="69ED625D"/>
    <w:rsid w:val="6A6D6639"/>
    <w:rsid w:val="6A8F73ED"/>
    <w:rsid w:val="6F854425"/>
    <w:rsid w:val="744157FA"/>
    <w:rsid w:val="74CE13B1"/>
    <w:rsid w:val="79574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semiHidden/>
    <w:unhideWhenUsed/>
    <w:qFormat/>
    <w:uiPriority w:val="99"/>
    <w:pPr>
      <w:spacing w:after="120"/>
    </w:pPr>
  </w:style>
  <w:style w:type="paragraph" w:styleId="3">
    <w:name w:val="Body Text 2"/>
    <w:basedOn w:val="1"/>
    <w:next w:val="2"/>
    <w:qFormat/>
    <w:uiPriority w:val="0"/>
    <w:pPr>
      <w:spacing w:after="120" w:line="480" w:lineRule="auto"/>
      <w:ind w:firstLine="560" w:firstLineChars="200"/>
    </w:pPr>
    <w:rPr>
      <w:rFonts w:ascii="Calibri" w:hAnsi="Calibri" w:eastAsia="仿宋_GB2312"/>
      <w:sz w:val="28"/>
      <w:szCs w:val="24"/>
    </w:rPr>
  </w:style>
  <w:style w:type="paragraph" w:styleId="4">
    <w:name w:val="Balloon Text"/>
    <w:basedOn w:val="1"/>
    <w:link w:val="13"/>
    <w:qFormat/>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8">
    <w:name w:val="Body Text First Indent"/>
    <w:basedOn w:val="2"/>
    <w:qFormat/>
    <w:uiPriority w:val="99"/>
    <w:pPr>
      <w:ind w:firstLine="420" w:firstLineChars="200"/>
    </w:pPr>
    <w:rPr>
      <w:rFonts w:ascii="Times New Roman" w:hAnsi="Times New Roman" w:eastAsia="宋体" w:cs="Times New Roman"/>
      <w:sz w:val="32"/>
      <w:szCs w:val="20"/>
    </w:rPr>
  </w:style>
  <w:style w:type="character" w:customStyle="1" w:styleId="11">
    <w:name w:val="页眉 Char"/>
    <w:basedOn w:val="10"/>
    <w:link w:val="6"/>
    <w:qFormat/>
    <w:uiPriority w:val="0"/>
    <w:rPr>
      <w:rFonts w:asciiTheme="minorHAnsi" w:hAnsiTheme="minorHAnsi" w:eastAsiaTheme="minorEastAsia" w:cstheme="minorBidi"/>
      <w:kern w:val="2"/>
      <w:sz w:val="18"/>
      <w:szCs w:val="18"/>
    </w:rPr>
  </w:style>
  <w:style w:type="character" w:customStyle="1" w:styleId="12">
    <w:name w:val="页脚 Char"/>
    <w:basedOn w:val="10"/>
    <w:link w:val="5"/>
    <w:qFormat/>
    <w:uiPriority w:val="0"/>
    <w:rPr>
      <w:rFonts w:asciiTheme="minorHAnsi" w:hAnsiTheme="minorHAnsi" w:eastAsiaTheme="minorEastAsia" w:cstheme="minorBidi"/>
      <w:kern w:val="2"/>
      <w:sz w:val="18"/>
      <w:szCs w:val="18"/>
    </w:rPr>
  </w:style>
  <w:style w:type="character" w:customStyle="1" w:styleId="13">
    <w:name w:val="批注框文本 Char"/>
    <w:basedOn w:val="10"/>
    <w:link w:val="4"/>
    <w:qFormat/>
    <w:uiPriority w:val="0"/>
    <w:rPr>
      <w:rFonts w:asciiTheme="minorHAnsi" w:hAnsiTheme="minorHAnsi" w:eastAsiaTheme="minorEastAsia" w:cstheme="minorBidi"/>
      <w:kern w:val="2"/>
      <w:sz w:val="18"/>
      <w:szCs w:val="18"/>
    </w:rPr>
  </w:style>
  <w:style w:type="paragraph" w:customStyle="1" w:styleId="14">
    <w:name w:val="Table Text"/>
    <w:basedOn w:val="1"/>
    <w:autoRedefine/>
    <w:semiHidden/>
    <w:qFormat/>
    <w:uiPriority w:val="0"/>
    <w:rPr>
      <w:rFonts w:ascii="宋体" w:hAnsi="宋体" w:eastAsia="宋体" w:cs="宋体"/>
      <w:sz w:val="23"/>
      <w:szCs w:val="23"/>
      <w:lang w:val="en-US" w:eastAsia="en-US" w:bidi="ar-SA"/>
    </w:rPr>
  </w:style>
  <w:style w:type="table" w:customStyle="1" w:styleId="15">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1940</Words>
  <Characters>2023</Characters>
  <Lines>6</Lines>
  <Paragraphs>1</Paragraphs>
  <TotalTime>27</TotalTime>
  <ScaleCrop>false</ScaleCrop>
  <LinksUpToDate>false</LinksUpToDate>
  <CharactersWithSpaces>2339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2023-07-27T08:57:00Z</dcterms:created>
  <dc:creator>驻马店市中医院招标办</dc:creator>
  <cp:lastModifiedBy>驻马店市中医院招标办</cp:lastModifiedBy>
  <cp:lastPrinted>2026-09-11T07:40:00Z</cp:lastPrinted>
  <dcterms:modified xsi:type="dcterms:W3CDTF">2026-09-16T07:20:57Z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8987B03FA9FE444C81F76CD4FBE21AC0_13</vt:lpwstr>
  </property>
  <property fmtid="{D5CDD505-2E9C-101B-9397-08002B2CF9AE}" pid="4" name="KSOTemplateDocerSaveRecord">
    <vt:lpwstr>eyJoZGlkIjoiMTEyNGU5MjFiZWU2ZTkyMTZhZDU5NDk5ZTg5NzZkMzciLCJ1c2VySWQiOiIxMTM3NDM2MzI0In0=</vt:lpwstr>
  </property>
</Properties>
</file>